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D4651" w14:textId="77777777" w:rsidR="00FE067E" w:rsidRPr="00DE7F68" w:rsidRDefault="003C6034" w:rsidP="00CC1F3B">
      <w:pPr>
        <w:pStyle w:val="TitlePageOrigin"/>
        <w:rPr>
          <w:color w:val="auto"/>
        </w:rPr>
      </w:pPr>
      <w:r w:rsidRPr="00DE7F68">
        <w:rPr>
          <w:caps w:val="0"/>
          <w:color w:val="auto"/>
        </w:rPr>
        <w:t>WEST VIRGINIA LEGISLATURE</w:t>
      </w:r>
    </w:p>
    <w:p w14:paraId="2AFF754F" w14:textId="77777777" w:rsidR="00CD36CF" w:rsidRPr="00DE7F68" w:rsidRDefault="00CD36CF" w:rsidP="00CC1F3B">
      <w:pPr>
        <w:pStyle w:val="TitlePageSession"/>
        <w:rPr>
          <w:color w:val="auto"/>
        </w:rPr>
      </w:pPr>
      <w:r w:rsidRPr="00DE7F68">
        <w:rPr>
          <w:color w:val="auto"/>
        </w:rPr>
        <w:t>20</w:t>
      </w:r>
      <w:r w:rsidR="00EC5E63" w:rsidRPr="00DE7F68">
        <w:rPr>
          <w:color w:val="auto"/>
        </w:rPr>
        <w:t>2</w:t>
      </w:r>
      <w:r w:rsidR="00211F02" w:rsidRPr="00DE7F68">
        <w:rPr>
          <w:color w:val="auto"/>
        </w:rPr>
        <w:t>5</w:t>
      </w:r>
      <w:r w:rsidRPr="00DE7F68">
        <w:rPr>
          <w:color w:val="auto"/>
        </w:rPr>
        <w:t xml:space="preserve"> </w:t>
      </w:r>
      <w:r w:rsidR="003C6034" w:rsidRPr="00DE7F68">
        <w:rPr>
          <w:caps w:val="0"/>
          <w:color w:val="auto"/>
        </w:rPr>
        <w:t>REGULAR SESSION</w:t>
      </w:r>
    </w:p>
    <w:p w14:paraId="2544100C" w14:textId="77777777" w:rsidR="00CD36CF" w:rsidRPr="00DE7F68" w:rsidRDefault="003A061B" w:rsidP="00CC1F3B">
      <w:pPr>
        <w:pStyle w:val="TitlePageBillPrefix"/>
        <w:rPr>
          <w:color w:val="auto"/>
        </w:rPr>
      </w:pPr>
      <w:sdt>
        <w:sdtPr>
          <w:rPr>
            <w:color w:val="auto"/>
          </w:rPr>
          <w:tag w:val="IntroDate"/>
          <w:id w:val="-1236936958"/>
          <w:placeholder>
            <w:docPart w:val="95143C78B56E44828B8B13BBC3AD8E21"/>
          </w:placeholder>
          <w:text/>
        </w:sdtPr>
        <w:sdtEndPr/>
        <w:sdtContent>
          <w:r w:rsidR="00AE48A0" w:rsidRPr="00DE7F68">
            <w:rPr>
              <w:color w:val="auto"/>
            </w:rPr>
            <w:t>Introduced</w:t>
          </w:r>
        </w:sdtContent>
      </w:sdt>
    </w:p>
    <w:p w14:paraId="3F28669D" w14:textId="3296D1E7" w:rsidR="00CD36CF" w:rsidRPr="00DE7F68" w:rsidRDefault="003A061B" w:rsidP="00CC1F3B">
      <w:pPr>
        <w:pStyle w:val="BillNumber"/>
        <w:rPr>
          <w:color w:val="auto"/>
        </w:rPr>
      </w:pPr>
      <w:sdt>
        <w:sdtPr>
          <w:rPr>
            <w:color w:val="auto"/>
          </w:rPr>
          <w:tag w:val="Chamber"/>
          <w:id w:val="893011969"/>
          <w:lock w:val="sdtLocked"/>
          <w:placeholder>
            <w:docPart w:val="7DA4913CF18A454A8CAA04C919FF13AE"/>
          </w:placeholder>
          <w:dropDownList>
            <w:listItem w:displayText="House" w:value="House"/>
            <w:listItem w:displayText="Senate" w:value="Senate"/>
          </w:dropDownList>
        </w:sdtPr>
        <w:sdtEndPr/>
        <w:sdtContent>
          <w:r w:rsidR="00C33434" w:rsidRPr="00DE7F68">
            <w:rPr>
              <w:color w:val="auto"/>
            </w:rPr>
            <w:t>House</w:t>
          </w:r>
        </w:sdtContent>
      </w:sdt>
      <w:r w:rsidR="00303684" w:rsidRPr="00DE7F68">
        <w:rPr>
          <w:color w:val="auto"/>
        </w:rPr>
        <w:t xml:space="preserve"> </w:t>
      </w:r>
      <w:r w:rsidR="00CD36CF" w:rsidRPr="00DE7F68">
        <w:rPr>
          <w:color w:val="auto"/>
        </w:rPr>
        <w:t xml:space="preserve">Bill </w:t>
      </w:r>
      <w:sdt>
        <w:sdtPr>
          <w:rPr>
            <w:color w:val="auto"/>
          </w:rPr>
          <w:tag w:val="BNum"/>
          <w:id w:val="1645317809"/>
          <w:lock w:val="sdtLocked"/>
          <w:placeholder>
            <w:docPart w:val="D721E8FD9AD542D2A24E89D63E2B6828"/>
          </w:placeholder>
          <w:text/>
        </w:sdtPr>
        <w:sdtEndPr/>
        <w:sdtContent>
          <w:r>
            <w:rPr>
              <w:color w:val="auto"/>
            </w:rPr>
            <w:t>2642</w:t>
          </w:r>
        </w:sdtContent>
      </w:sdt>
    </w:p>
    <w:p w14:paraId="0BF56F1A" w14:textId="5EC8AEF3" w:rsidR="00CD36CF" w:rsidRPr="00DE7F68" w:rsidRDefault="00CD36CF" w:rsidP="00CC1F3B">
      <w:pPr>
        <w:pStyle w:val="Sponsors"/>
        <w:rPr>
          <w:color w:val="auto"/>
        </w:rPr>
      </w:pPr>
      <w:r w:rsidRPr="00DE7F68">
        <w:rPr>
          <w:color w:val="auto"/>
        </w:rPr>
        <w:t xml:space="preserve">By </w:t>
      </w:r>
      <w:sdt>
        <w:sdtPr>
          <w:rPr>
            <w:color w:val="auto"/>
          </w:rPr>
          <w:tag w:val="Sponsors"/>
          <w:id w:val="1589585889"/>
          <w:placeholder>
            <w:docPart w:val="8DB743B471FC4C20BE480F7147BF767E"/>
          </w:placeholder>
          <w:text w:multiLine="1"/>
        </w:sdtPr>
        <w:sdtEndPr/>
        <w:sdtContent>
          <w:r w:rsidR="00915C7F" w:rsidRPr="00DE7F68">
            <w:rPr>
              <w:color w:val="auto"/>
            </w:rPr>
            <w:t>Delegate</w:t>
          </w:r>
          <w:r w:rsidR="008870C1">
            <w:rPr>
              <w:color w:val="auto"/>
            </w:rPr>
            <w:t>s</w:t>
          </w:r>
          <w:r w:rsidR="00915C7F" w:rsidRPr="00DE7F68">
            <w:rPr>
              <w:color w:val="auto"/>
            </w:rPr>
            <w:t xml:space="preserve"> Maynor</w:t>
          </w:r>
          <w:r w:rsidR="008870C1">
            <w:rPr>
              <w:color w:val="auto"/>
            </w:rPr>
            <w:t xml:space="preserve">, Riley, Rohrbach, Hornby, Fehrenbacher, and Barnhart </w:t>
          </w:r>
        </w:sdtContent>
      </w:sdt>
    </w:p>
    <w:p w14:paraId="61B3F8A8" w14:textId="03AA1C1B" w:rsidR="00E831B3" w:rsidRPr="00DE7F68" w:rsidRDefault="00CD36CF" w:rsidP="00CC1F3B">
      <w:pPr>
        <w:pStyle w:val="References"/>
        <w:rPr>
          <w:color w:val="auto"/>
        </w:rPr>
      </w:pPr>
      <w:r w:rsidRPr="00DE7F68">
        <w:rPr>
          <w:color w:val="auto"/>
        </w:rPr>
        <w:t>[</w:t>
      </w:r>
      <w:sdt>
        <w:sdtPr>
          <w:rPr>
            <w:color w:val="auto"/>
          </w:rPr>
          <w:tag w:val="References"/>
          <w:id w:val="-1043047873"/>
          <w:placeholder>
            <w:docPart w:val="B4AA00129BD14530BD7B8B9961CE5EB2"/>
          </w:placeholder>
          <w:text w:multiLine="1"/>
        </w:sdtPr>
        <w:sdtEndPr/>
        <w:sdtContent>
          <w:r w:rsidR="003A061B">
            <w:rPr>
              <w:color w:val="auto"/>
            </w:rPr>
            <w:t>Introduced February 20, 2025; referred to the Committee on Finance</w:t>
          </w:r>
        </w:sdtContent>
      </w:sdt>
      <w:r w:rsidRPr="00DE7F68">
        <w:rPr>
          <w:color w:val="auto"/>
        </w:rPr>
        <w:t>]</w:t>
      </w:r>
    </w:p>
    <w:p w14:paraId="5057386C" w14:textId="613FF51B" w:rsidR="00303684" w:rsidRPr="00DE7F68" w:rsidRDefault="0000526A" w:rsidP="00CC1F3B">
      <w:pPr>
        <w:pStyle w:val="TitleSection"/>
        <w:rPr>
          <w:color w:val="auto"/>
        </w:rPr>
      </w:pPr>
      <w:r w:rsidRPr="00DE7F68">
        <w:rPr>
          <w:color w:val="auto"/>
        </w:rPr>
        <w:lastRenderedPageBreak/>
        <w:t>A BILL</w:t>
      </w:r>
      <w:r w:rsidR="00915C7F" w:rsidRPr="00DE7F68">
        <w:rPr>
          <w:color w:val="auto"/>
        </w:rPr>
        <w:t xml:space="preserve"> </w:t>
      </w:r>
      <w:r w:rsidR="00915C7F" w:rsidRPr="00DE7F68">
        <w:rPr>
          <w:rFonts w:cs="Arial"/>
          <w:color w:val="auto"/>
        </w:rPr>
        <w:t xml:space="preserve">to amend the Code of West Virginia, 1931, as amended, by adding a new section, designated §31-15-34; relating </w:t>
      </w:r>
      <w:r w:rsidR="00915C7F" w:rsidRPr="00DE7F68">
        <w:rPr>
          <w:color w:val="auto"/>
        </w:rPr>
        <w:t>to establishing a commercial property assessed capital expenditure financing program for localities and defining terms.</w:t>
      </w:r>
    </w:p>
    <w:p w14:paraId="3D1C5695" w14:textId="77777777" w:rsidR="00303684" w:rsidRPr="00DE7F68" w:rsidRDefault="00303684" w:rsidP="00CC1F3B">
      <w:pPr>
        <w:pStyle w:val="EnactingClause"/>
        <w:rPr>
          <w:color w:val="auto"/>
        </w:rPr>
      </w:pPr>
      <w:r w:rsidRPr="00DE7F68">
        <w:rPr>
          <w:color w:val="auto"/>
        </w:rPr>
        <w:t>Be it enacted by the Legislature of West Virginia:</w:t>
      </w:r>
    </w:p>
    <w:p w14:paraId="033279AF" w14:textId="77777777" w:rsidR="003C6034" w:rsidRPr="00DE7F68" w:rsidRDefault="003C6034" w:rsidP="00CC1F3B">
      <w:pPr>
        <w:pStyle w:val="EnactingClause"/>
        <w:rPr>
          <w:color w:val="auto"/>
        </w:rPr>
        <w:sectPr w:rsidR="003C6034" w:rsidRPr="00DE7F68"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53417172" w14:textId="77777777" w:rsidR="00915C7F" w:rsidRPr="00DE7F68" w:rsidRDefault="00915C7F" w:rsidP="00915C7F">
      <w:pPr>
        <w:pStyle w:val="ArticleHeading"/>
        <w:rPr>
          <w:color w:val="auto"/>
        </w:rPr>
        <w:sectPr w:rsidR="00915C7F" w:rsidRPr="00DE7F68" w:rsidSect="00DF199D">
          <w:type w:val="continuous"/>
          <w:pgSz w:w="12240" w:h="15840" w:code="1"/>
          <w:pgMar w:top="1440" w:right="1440" w:bottom="1440" w:left="1440" w:header="720" w:footer="720" w:gutter="0"/>
          <w:lnNumType w:countBy="1" w:restart="newSection"/>
          <w:cols w:space="720"/>
          <w:titlePg/>
          <w:docGrid w:linePitch="360"/>
        </w:sectPr>
      </w:pPr>
      <w:r w:rsidRPr="00DE7F68">
        <w:rPr>
          <w:color w:val="auto"/>
        </w:rPr>
        <w:t>ARticle 15. WEST VIRGINIA ECONOMIC DEVELOPMENT AUTHORITY.</w:t>
      </w:r>
    </w:p>
    <w:p w14:paraId="70B4998E" w14:textId="541F2ED3" w:rsidR="00915C7F" w:rsidRPr="00DE7F68" w:rsidRDefault="00915C7F" w:rsidP="00915C7F">
      <w:pPr>
        <w:pStyle w:val="SectionHeading"/>
        <w:rPr>
          <w:color w:val="auto"/>
          <w:u w:val="single"/>
        </w:rPr>
        <w:sectPr w:rsidR="00915C7F" w:rsidRPr="00DE7F68" w:rsidSect="00DF199D">
          <w:type w:val="continuous"/>
          <w:pgSz w:w="12240" w:h="15840" w:code="1"/>
          <w:pgMar w:top="1440" w:right="1440" w:bottom="1440" w:left="1440" w:header="720" w:footer="720" w:gutter="0"/>
          <w:lnNumType w:countBy="1" w:restart="newSection"/>
          <w:cols w:space="720"/>
          <w:titlePg/>
          <w:docGrid w:linePitch="360"/>
        </w:sectPr>
      </w:pPr>
      <w:r w:rsidRPr="00DE7F68">
        <w:rPr>
          <w:color w:val="auto"/>
          <w:u w:val="single"/>
        </w:rPr>
        <w:t>§31-15-34. Commercial Property Assessed Capital Expenditure Act.</w:t>
      </w:r>
    </w:p>
    <w:p w14:paraId="5250FEDE" w14:textId="6FE29B74" w:rsidR="00915C7F" w:rsidRPr="00DE7F68" w:rsidRDefault="005B38C4" w:rsidP="005B38C4">
      <w:pPr>
        <w:pStyle w:val="SectionBody"/>
        <w:rPr>
          <w:color w:val="auto"/>
          <w:u w:val="single"/>
        </w:rPr>
      </w:pPr>
      <w:r w:rsidRPr="00DE7F68">
        <w:rPr>
          <w:color w:val="auto"/>
          <w:u w:val="single"/>
        </w:rPr>
        <w:t xml:space="preserve">(a) </w:t>
      </w:r>
      <w:r w:rsidR="00915C7F" w:rsidRPr="00DE7F68">
        <w:rPr>
          <w:color w:val="auto"/>
          <w:u w:val="single"/>
        </w:rPr>
        <w:t xml:space="preserve">Definitions. </w:t>
      </w:r>
    </w:p>
    <w:p w14:paraId="084E7F3E" w14:textId="49644D04" w:rsidR="00915C7F" w:rsidRPr="00DE7F68" w:rsidRDefault="005B38C4" w:rsidP="005B38C4">
      <w:pPr>
        <w:pStyle w:val="SectionBody"/>
        <w:rPr>
          <w:color w:val="auto"/>
          <w:u w:val="single"/>
        </w:rPr>
      </w:pPr>
      <w:r w:rsidRPr="00DE7F68">
        <w:rPr>
          <w:rFonts w:cs="Arial"/>
          <w:color w:val="auto"/>
          <w:u w:val="single"/>
        </w:rPr>
        <w:t xml:space="preserve">(1) </w:t>
      </w:r>
      <w:r w:rsidR="00B51889" w:rsidRPr="00DE7F68">
        <w:rPr>
          <w:rFonts w:cs="Arial"/>
          <w:color w:val="auto"/>
          <w:u w:val="single"/>
        </w:rPr>
        <w:t>"</w:t>
      </w:r>
      <w:r w:rsidR="00915C7F" w:rsidRPr="00DE7F68">
        <w:rPr>
          <w:rFonts w:cs="Arial"/>
          <w:color w:val="auto"/>
          <w:u w:val="single"/>
        </w:rPr>
        <w:t>Eligible improvements</w:t>
      </w:r>
      <w:r w:rsidR="00B51889" w:rsidRPr="00DE7F68">
        <w:rPr>
          <w:rFonts w:cs="Arial"/>
          <w:color w:val="auto"/>
          <w:u w:val="single"/>
        </w:rPr>
        <w:t>"</w:t>
      </w:r>
      <w:r w:rsidR="00915C7F" w:rsidRPr="00DE7F68">
        <w:rPr>
          <w:rFonts w:cs="Arial"/>
          <w:color w:val="auto"/>
          <w:u w:val="single"/>
        </w:rPr>
        <w:t xml:space="preserve"> means any of the following improvements made to eligible properties:</w:t>
      </w:r>
      <w:bookmarkStart w:id="0" w:name="co_anchor_IA15865D2D21311EDA1629F7FF4483"/>
      <w:bookmarkStart w:id="1" w:name="co_pp_02ae000009361_1"/>
      <w:bookmarkEnd w:id="0"/>
      <w:bookmarkEnd w:id="1"/>
    </w:p>
    <w:p w14:paraId="467412EA" w14:textId="3B45847E" w:rsidR="00915C7F" w:rsidRPr="00DE7F68" w:rsidRDefault="005B38C4" w:rsidP="005B38C4">
      <w:pPr>
        <w:pStyle w:val="SectionBody"/>
        <w:rPr>
          <w:color w:val="auto"/>
          <w:u w:val="single"/>
        </w:rPr>
      </w:pPr>
      <w:r w:rsidRPr="00DE7F68">
        <w:rPr>
          <w:rFonts w:cs="Arial"/>
          <w:color w:val="auto"/>
          <w:u w:val="single"/>
        </w:rPr>
        <w:t xml:space="preserve">(A) </w:t>
      </w:r>
      <w:r w:rsidR="00915C7F" w:rsidRPr="00DE7F68">
        <w:rPr>
          <w:rFonts w:cs="Arial"/>
          <w:color w:val="auto"/>
          <w:u w:val="single"/>
        </w:rPr>
        <w:t>Energy efficiency improvements;</w:t>
      </w:r>
      <w:bookmarkStart w:id="2" w:name="co_anchor_IA15865D3D21311EDA1629F7FF4483"/>
      <w:bookmarkStart w:id="3" w:name="co_pp_db14000092f97_1"/>
      <w:bookmarkEnd w:id="2"/>
      <w:bookmarkEnd w:id="3"/>
    </w:p>
    <w:p w14:paraId="6E0666FC" w14:textId="529ECCE0" w:rsidR="00915C7F" w:rsidRPr="00DE7F68" w:rsidRDefault="005B38C4" w:rsidP="005B38C4">
      <w:pPr>
        <w:pStyle w:val="SectionBody"/>
        <w:rPr>
          <w:color w:val="auto"/>
          <w:u w:val="single"/>
        </w:rPr>
      </w:pPr>
      <w:r w:rsidRPr="00DE7F68">
        <w:rPr>
          <w:rFonts w:cs="Arial"/>
          <w:color w:val="auto"/>
          <w:u w:val="single"/>
        </w:rPr>
        <w:t xml:space="preserve">(B) </w:t>
      </w:r>
      <w:r w:rsidR="00915C7F" w:rsidRPr="00DE7F68">
        <w:rPr>
          <w:rFonts w:cs="Arial"/>
          <w:color w:val="auto"/>
          <w:u w:val="single"/>
        </w:rPr>
        <w:t>Water efficiency and safe drinking water improvements;</w:t>
      </w:r>
      <w:bookmarkStart w:id="4" w:name="co_anchor_IA15865D4D21311EDA1629F7FF4483"/>
      <w:bookmarkStart w:id="5" w:name="co_pp_a17f000008ee7_1"/>
      <w:bookmarkEnd w:id="4"/>
      <w:bookmarkEnd w:id="5"/>
    </w:p>
    <w:p w14:paraId="06A9B26F" w14:textId="039613C2" w:rsidR="00915C7F" w:rsidRPr="00DE7F68" w:rsidRDefault="005B38C4" w:rsidP="005B38C4">
      <w:pPr>
        <w:pStyle w:val="SectionBody"/>
        <w:rPr>
          <w:color w:val="auto"/>
          <w:u w:val="single"/>
        </w:rPr>
      </w:pPr>
      <w:r w:rsidRPr="00DE7F68">
        <w:rPr>
          <w:rFonts w:cs="Arial"/>
          <w:color w:val="auto"/>
          <w:u w:val="single"/>
        </w:rPr>
        <w:t xml:space="preserve">(C) </w:t>
      </w:r>
      <w:r w:rsidR="00915C7F" w:rsidRPr="00DE7F68">
        <w:rPr>
          <w:rFonts w:cs="Arial"/>
          <w:color w:val="auto"/>
          <w:u w:val="single"/>
        </w:rPr>
        <w:t>Renewable energy improvements</w:t>
      </w:r>
      <w:bookmarkStart w:id="6" w:name="co_anchor_IA15865D5D21311EDA1629F7FF4483"/>
      <w:bookmarkEnd w:id="6"/>
      <w:r w:rsidR="00915C7F" w:rsidRPr="00DE7F68">
        <w:rPr>
          <w:rFonts w:cs="Arial"/>
          <w:color w:val="auto"/>
          <w:u w:val="single"/>
        </w:rPr>
        <w:t>;</w:t>
      </w:r>
      <w:bookmarkStart w:id="7" w:name="co_pp_1b490000c92a1_1"/>
      <w:bookmarkEnd w:id="7"/>
    </w:p>
    <w:p w14:paraId="372EFA8E" w14:textId="58EDFAD5" w:rsidR="00915C7F" w:rsidRPr="00DE7F68" w:rsidRDefault="005B38C4" w:rsidP="005B38C4">
      <w:pPr>
        <w:pStyle w:val="SectionBody"/>
        <w:rPr>
          <w:color w:val="auto"/>
          <w:u w:val="single"/>
        </w:rPr>
      </w:pPr>
      <w:r w:rsidRPr="00DE7F68">
        <w:rPr>
          <w:rFonts w:cs="Arial"/>
          <w:color w:val="auto"/>
          <w:u w:val="single"/>
        </w:rPr>
        <w:t xml:space="preserve">(D) </w:t>
      </w:r>
      <w:r w:rsidR="00915C7F" w:rsidRPr="00DE7F68">
        <w:rPr>
          <w:rFonts w:cs="Arial"/>
          <w:color w:val="auto"/>
          <w:u w:val="single"/>
        </w:rPr>
        <w:t>Resiliency improvements;</w:t>
      </w:r>
      <w:bookmarkStart w:id="8" w:name="co_anchor_IA15865D6D21311EDA1629F7FF4483"/>
      <w:bookmarkStart w:id="9" w:name="co_pp_2f1f000042ed7_1"/>
      <w:bookmarkEnd w:id="8"/>
      <w:bookmarkEnd w:id="9"/>
    </w:p>
    <w:p w14:paraId="204EF633" w14:textId="2B79089C" w:rsidR="00915C7F" w:rsidRPr="00DE7F68" w:rsidRDefault="005B38C4" w:rsidP="005B38C4">
      <w:pPr>
        <w:pStyle w:val="SectionBody"/>
        <w:rPr>
          <w:color w:val="auto"/>
          <w:u w:val="single"/>
        </w:rPr>
      </w:pPr>
      <w:r w:rsidRPr="00DE7F68">
        <w:rPr>
          <w:rFonts w:cs="Arial"/>
          <w:color w:val="auto"/>
          <w:u w:val="single"/>
        </w:rPr>
        <w:t xml:space="preserve">(E) </w:t>
      </w:r>
      <w:r w:rsidR="00915C7F" w:rsidRPr="00DE7F68">
        <w:rPr>
          <w:rFonts w:cs="Arial"/>
          <w:color w:val="auto"/>
          <w:u w:val="single"/>
        </w:rPr>
        <w:t>Stormwater management improvements;</w:t>
      </w:r>
      <w:bookmarkStart w:id="10" w:name="co_anchor_IA15865D7D21311EDA1629F7FF4483"/>
      <w:bookmarkStart w:id="11" w:name="co_pp_d6f7000091cc6_1"/>
      <w:bookmarkEnd w:id="10"/>
      <w:bookmarkEnd w:id="11"/>
      <w:r w:rsidR="00915C7F" w:rsidRPr="00DE7F68">
        <w:rPr>
          <w:rFonts w:cs="Arial"/>
          <w:color w:val="auto"/>
          <w:u w:val="single"/>
        </w:rPr>
        <w:t xml:space="preserve"> and</w:t>
      </w:r>
    </w:p>
    <w:p w14:paraId="1047C97D" w14:textId="20F6FBD3" w:rsidR="00915C7F" w:rsidRPr="00DE7F68" w:rsidRDefault="005B38C4" w:rsidP="005B38C4">
      <w:pPr>
        <w:pStyle w:val="SectionBody"/>
        <w:rPr>
          <w:color w:val="auto"/>
          <w:u w:val="single"/>
        </w:rPr>
      </w:pPr>
      <w:r w:rsidRPr="00DE7F68">
        <w:rPr>
          <w:rFonts w:cs="Arial"/>
          <w:color w:val="auto"/>
          <w:u w:val="single"/>
        </w:rPr>
        <w:t xml:space="preserve">(F) </w:t>
      </w:r>
      <w:r w:rsidR="00915C7F" w:rsidRPr="00DE7F68">
        <w:rPr>
          <w:rFonts w:cs="Arial"/>
          <w:color w:val="auto"/>
          <w:u w:val="single"/>
        </w:rPr>
        <w:t>Environmental remediation improvements</w:t>
      </w:r>
      <w:bookmarkStart w:id="12" w:name="co_anchor_IA15865D8D21311EDA1629F7FF4483"/>
      <w:bookmarkStart w:id="13" w:name="co_pp_2dfb000087a75_1"/>
      <w:bookmarkEnd w:id="12"/>
      <w:bookmarkEnd w:id="13"/>
      <w:r w:rsidR="00915C7F" w:rsidRPr="00DE7F68">
        <w:rPr>
          <w:rFonts w:cs="Arial"/>
          <w:color w:val="auto"/>
          <w:u w:val="single"/>
        </w:rPr>
        <w:t>.</w:t>
      </w:r>
      <w:bookmarkStart w:id="14" w:name="co_anchor_IA15865D9D21311EDA1629F7FF4483"/>
      <w:bookmarkEnd w:id="14"/>
    </w:p>
    <w:p w14:paraId="2D097469" w14:textId="77777777" w:rsidR="00915C7F" w:rsidRPr="00DE7F68" w:rsidRDefault="00915C7F" w:rsidP="005B38C4">
      <w:pPr>
        <w:widowControl w:val="0"/>
        <w:autoSpaceDE w:val="0"/>
        <w:autoSpaceDN w:val="0"/>
        <w:adjustRightInd w:val="0"/>
        <w:ind w:firstLine="720"/>
        <w:jc w:val="both"/>
        <w:rPr>
          <w:rFonts w:cs="Arial"/>
          <w:color w:val="auto"/>
          <w:u w:val="single"/>
        </w:rPr>
      </w:pPr>
      <w:r w:rsidRPr="00DE7F68">
        <w:rPr>
          <w:rFonts w:cs="Arial"/>
          <w:color w:val="auto"/>
          <w:u w:val="single"/>
        </w:rPr>
        <w:t>A program administrator may include in its C-PACE loan program guide or other administrative documentation definitions, interpretations, and examples of these categories of eligible improvements.</w:t>
      </w:r>
      <w:bookmarkStart w:id="15" w:name="co_anchor_IA15865DAD21311EDA1629F7FF4483"/>
      <w:bookmarkEnd w:id="15"/>
    </w:p>
    <w:p w14:paraId="5EC3BC3B" w14:textId="0F959ECA" w:rsidR="00915C7F" w:rsidRPr="00DE7F68" w:rsidRDefault="005B38C4" w:rsidP="005B38C4">
      <w:pPr>
        <w:widowControl w:val="0"/>
        <w:autoSpaceDE w:val="0"/>
        <w:autoSpaceDN w:val="0"/>
        <w:adjustRightInd w:val="0"/>
        <w:ind w:firstLine="720"/>
        <w:jc w:val="both"/>
        <w:rPr>
          <w:rFonts w:cs="Arial"/>
          <w:color w:val="auto"/>
          <w:u w:val="single"/>
        </w:rPr>
      </w:pPr>
      <w:r w:rsidRPr="00DE7F68">
        <w:rPr>
          <w:rFonts w:cs="Arial"/>
          <w:color w:val="auto"/>
          <w:u w:val="single"/>
        </w:rPr>
        <w:t xml:space="preserve">(2) </w:t>
      </w:r>
      <w:r w:rsidR="00B51889" w:rsidRPr="00DE7F68">
        <w:rPr>
          <w:rFonts w:cs="Arial"/>
          <w:color w:val="auto"/>
          <w:u w:val="single"/>
        </w:rPr>
        <w:t>"</w:t>
      </w:r>
      <w:r w:rsidR="00915C7F" w:rsidRPr="00DE7F68">
        <w:rPr>
          <w:rFonts w:cs="Arial"/>
          <w:color w:val="auto"/>
          <w:u w:val="single"/>
        </w:rPr>
        <w:t>Eligible properties</w:t>
      </w:r>
      <w:r w:rsidR="00B51889" w:rsidRPr="00DE7F68">
        <w:rPr>
          <w:rFonts w:cs="Arial"/>
          <w:color w:val="auto"/>
          <w:u w:val="single"/>
        </w:rPr>
        <w:t>"</w:t>
      </w:r>
      <w:r w:rsidR="00915C7F" w:rsidRPr="00DE7F68">
        <w:rPr>
          <w:rFonts w:cs="Arial"/>
          <w:color w:val="auto"/>
          <w:u w:val="single"/>
        </w:rPr>
        <w:t xml:space="preserve"> means all assessable commercial real estate located within the State, with all buildings located or to be located thereon, whether vacant or occupied, whether improved or unimproved, and regardless of whether such real estate is currently subject to taxation by the locality, other than a residential dwelling with fewer than four dwelling units or a condominium as defined in §36B-1-103 used for residential purposes. Common areas of real estate owned by a cooperative or a property owners’ association described in §36B-1-103 that have a separate real property tax identification number are eligible properties. Eligible properties shall be eligible to participate in the C-PACE loan program.</w:t>
      </w:r>
      <w:bookmarkStart w:id="16" w:name="co_anchor_IA15865DBD21311EDA1629F7FF4483"/>
      <w:bookmarkEnd w:id="16"/>
    </w:p>
    <w:p w14:paraId="16190658" w14:textId="0E295639" w:rsidR="00915C7F" w:rsidRPr="00DE7F68" w:rsidRDefault="005B38C4" w:rsidP="005B38C4">
      <w:pPr>
        <w:widowControl w:val="0"/>
        <w:autoSpaceDE w:val="0"/>
        <w:autoSpaceDN w:val="0"/>
        <w:adjustRightInd w:val="0"/>
        <w:ind w:firstLine="720"/>
        <w:jc w:val="both"/>
        <w:rPr>
          <w:rFonts w:cs="Arial"/>
          <w:color w:val="auto"/>
          <w:u w:val="single"/>
        </w:rPr>
      </w:pPr>
      <w:r w:rsidRPr="00DE7F68">
        <w:rPr>
          <w:rFonts w:cs="Arial"/>
          <w:color w:val="auto"/>
          <w:u w:val="single"/>
        </w:rPr>
        <w:lastRenderedPageBreak/>
        <w:t xml:space="preserve">(3) </w:t>
      </w:r>
      <w:r w:rsidR="00B51889" w:rsidRPr="00DE7F68">
        <w:rPr>
          <w:rFonts w:cs="Arial"/>
          <w:color w:val="auto"/>
          <w:u w:val="single"/>
        </w:rPr>
        <w:t>"</w:t>
      </w:r>
      <w:r w:rsidR="00915C7F" w:rsidRPr="00DE7F68">
        <w:rPr>
          <w:rFonts w:cs="Arial"/>
          <w:color w:val="auto"/>
          <w:u w:val="single"/>
        </w:rPr>
        <w:t>Program administrator</w:t>
      </w:r>
      <w:r w:rsidR="00B51889" w:rsidRPr="00DE7F68">
        <w:rPr>
          <w:rFonts w:cs="Arial"/>
          <w:color w:val="auto"/>
          <w:u w:val="single"/>
        </w:rPr>
        <w:t>"</w:t>
      </w:r>
      <w:r w:rsidR="00915C7F" w:rsidRPr="00DE7F68">
        <w:rPr>
          <w:rFonts w:cs="Arial"/>
          <w:color w:val="auto"/>
          <w:u w:val="single"/>
        </w:rPr>
        <w:t xml:space="preserve"> means a third party that is contracted for professional services to administer a C-PACE loan program.</w:t>
      </w:r>
      <w:bookmarkStart w:id="17" w:name="co_anchor_IA15865DCD21311EDA1629F7FF4483"/>
      <w:bookmarkEnd w:id="17"/>
    </w:p>
    <w:p w14:paraId="59150874" w14:textId="3C98803F" w:rsidR="00915C7F" w:rsidRPr="00DE7F68" w:rsidRDefault="005B38C4" w:rsidP="005B38C4">
      <w:pPr>
        <w:widowControl w:val="0"/>
        <w:autoSpaceDE w:val="0"/>
        <w:autoSpaceDN w:val="0"/>
        <w:adjustRightInd w:val="0"/>
        <w:ind w:firstLine="720"/>
        <w:jc w:val="both"/>
        <w:rPr>
          <w:rFonts w:cs="Arial"/>
          <w:color w:val="auto"/>
          <w:u w:val="single"/>
        </w:rPr>
      </w:pPr>
      <w:r w:rsidRPr="00DE7F68">
        <w:rPr>
          <w:rFonts w:cs="Arial"/>
          <w:color w:val="auto"/>
          <w:u w:val="single"/>
        </w:rPr>
        <w:t xml:space="preserve">(4) </w:t>
      </w:r>
      <w:r w:rsidR="00B51889" w:rsidRPr="00DE7F68">
        <w:rPr>
          <w:rFonts w:cs="Arial"/>
          <w:color w:val="auto"/>
          <w:u w:val="single"/>
        </w:rPr>
        <w:t>"</w:t>
      </w:r>
      <w:r w:rsidR="00915C7F" w:rsidRPr="00DE7F68">
        <w:rPr>
          <w:rFonts w:cs="Arial"/>
          <w:color w:val="auto"/>
          <w:u w:val="single"/>
        </w:rPr>
        <w:t>Resiliency improvement</w:t>
      </w:r>
      <w:r w:rsidR="00B51889" w:rsidRPr="00DE7F68">
        <w:rPr>
          <w:rFonts w:cs="Arial"/>
          <w:color w:val="auto"/>
          <w:u w:val="single"/>
        </w:rPr>
        <w:t>"</w:t>
      </w:r>
      <w:r w:rsidR="00915C7F" w:rsidRPr="00DE7F68">
        <w:rPr>
          <w:rFonts w:cs="Arial"/>
          <w:color w:val="auto"/>
          <w:u w:val="single"/>
        </w:rPr>
        <w:t xml:space="preserve"> means an improvement that increases the capacity of a structure or infrastructure to withstand or recover from natural disasters, the effects of climate change, and attacks and accidents, including, but not limited to:</w:t>
      </w:r>
      <w:bookmarkStart w:id="18" w:name="co_anchor_IA15865DDD21311EDA1629F7FF4483"/>
      <w:bookmarkStart w:id="19" w:name="co_pp_02ae000009361_0_1"/>
      <w:bookmarkEnd w:id="18"/>
      <w:bookmarkEnd w:id="19"/>
    </w:p>
    <w:p w14:paraId="16F2239C" w14:textId="357A831D" w:rsidR="00915C7F" w:rsidRPr="00DE7F68" w:rsidRDefault="005B38C4" w:rsidP="005B38C4">
      <w:pPr>
        <w:widowControl w:val="0"/>
        <w:autoSpaceDE w:val="0"/>
        <w:autoSpaceDN w:val="0"/>
        <w:adjustRightInd w:val="0"/>
        <w:ind w:firstLine="720"/>
        <w:jc w:val="both"/>
        <w:rPr>
          <w:rFonts w:cs="Arial"/>
          <w:color w:val="auto"/>
          <w:u w:val="single"/>
        </w:rPr>
      </w:pPr>
      <w:r w:rsidRPr="00DE7F68">
        <w:rPr>
          <w:rFonts w:cs="Arial"/>
          <w:color w:val="auto"/>
          <w:u w:val="single"/>
        </w:rPr>
        <w:t xml:space="preserve">(A) </w:t>
      </w:r>
      <w:r w:rsidR="00915C7F" w:rsidRPr="00DE7F68">
        <w:rPr>
          <w:rFonts w:cs="Arial"/>
          <w:color w:val="auto"/>
          <w:u w:val="single"/>
        </w:rPr>
        <w:t>Flood mitigation or the mitigation of the impacts of flooding;</w:t>
      </w:r>
      <w:bookmarkStart w:id="20" w:name="co_anchor_IA15865DED21311EDA1629F7FF4483"/>
      <w:bookmarkStart w:id="21" w:name="co_pp_db14000092f97_0_1"/>
      <w:bookmarkEnd w:id="20"/>
      <w:bookmarkEnd w:id="21"/>
    </w:p>
    <w:p w14:paraId="624CC680" w14:textId="0B185682" w:rsidR="00915C7F" w:rsidRPr="00DE7F68" w:rsidRDefault="005B38C4" w:rsidP="005B38C4">
      <w:pPr>
        <w:widowControl w:val="0"/>
        <w:autoSpaceDE w:val="0"/>
        <w:autoSpaceDN w:val="0"/>
        <w:adjustRightInd w:val="0"/>
        <w:ind w:firstLine="720"/>
        <w:jc w:val="both"/>
        <w:rPr>
          <w:rFonts w:cs="Arial"/>
          <w:color w:val="auto"/>
          <w:u w:val="single"/>
        </w:rPr>
      </w:pPr>
      <w:r w:rsidRPr="00DE7F68">
        <w:rPr>
          <w:rFonts w:cs="Arial"/>
          <w:color w:val="auto"/>
          <w:u w:val="single"/>
        </w:rPr>
        <w:t xml:space="preserve">(B) </w:t>
      </w:r>
      <w:r w:rsidR="00915C7F" w:rsidRPr="00DE7F68">
        <w:rPr>
          <w:rFonts w:cs="Arial"/>
          <w:color w:val="auto"/>
          <w:u w:val="single"/>
        </w:rPr>
        <w:t>Inundation adaptation;</w:t>
      </w:r>
      <w:bookmarkStart w:id="22" w:name="co_anchor_IA15865DFD21311EDA1629F7FF4483"/>
      <w:bookmarkStart w:id="23" w:name="co_pp_a17f000008ee7_0_1"/>
      <w:bookmarkEnd w:id="22"/>
      <w:bookmarkEnd w:id="23"/>
    </w:p>
    <w:p w14:paraId="36680A7F" w14:textId="4AB376D0" w:rsidR="00915C7F" w:rsidRPr="00DE7F68" w:rsidRDefault="005B38C4" w:rsidP="005B38C4">
      <w:pPr>
        <w:widowControl w:val="0"/>
        <w:autoSpaceDE w:val="0"/>
        <w:autoSpaceDN w:val="0"/>
        <w:adjustRightInd w:val="0"/>
        <w:ind w:firstLine="720"/>
        <w:jc w:val="both"/>
        <w:rPr>
          <w:rFonts w:cs="Arial"/>
          <w:color w:val="auto"/>
          <w:u w:val="single"/>
        </w:rPr>
      </w:pPr>
      <w:r w:rsidRPr="00DE7F68">
        <w:rPr>
          <w:rFonts w:cs="Arial"/>
          <w:color w:val="auto"/>
          <w:u w:val="single"/>
        </w:rPr>
        <w:t xml:space="preserve">(C) </w:t>
      </w:r>
      <w:r w:rsidR="00915C7F" w:rsidRPr="00DE7F68">
        <w:rPr>
          <w:rFonts w:cs="Arial"/>
          <w:color w:val="auto"/>
          <w:u w:val="single"/>
        </w:rPr>
        <w:t>Natural or nature-based features;</w:t>
      </w:r>
      <w:bookmarkStart w:id="24" w:name="co_anchor_IA15865E0D21311EDA1629F7FF4483"/>
      <w:bookmarkStart w:id="25" w:name="co_pp_1b490000c92a1_0_1"/>
      <w:bookmarkEnd w:id="24"/>
      <w:bookmarkEnd w:id="25"/>
    </w:p>
    <w:p w14:paraId="5067767D" w14:textId="648542A7" w:rsidR="00915C7F" w:rsidRPr="00DE7F68" w:rsidRDefault="005B38C4" w:rsidP="005B38C4">
      <w:pPr>
        <w:widowControl w:val="0"/>
        <w:autoSpaceDE w:val="0"/>
        <w:autoSpaceDN w:val="0"/>
        <w:adjustRightInd w:val="0"/>
        <w:ind w:firstLine="720"/>
        <w:jc w:val="both"/>
        <w:rPr>
          <w:rFonts w:cs="Arial"/>
          <w:color w:val="auto"/>
          <w:u w:val="single"/>
        </w:rPr>
      </w:pPr>
      <w:r w:rsidRPr="00DE7F68">
        <w:rPr>
          <w:rFonts w:cs="Arial"/>
          <w:color w:val="auto"/>
          <w:u w:val="single"/>
        </w:rPr>
        <w:t xml:space="preserve">(D) </w:t>
      </w:r>
      <w:r w:rsidR="00915C7F" w:rsidRPr="00DE7F68">
        <w:rPr>
          <w:rFonts w:cs="Arial"/>
          <w:color w:val="auto"/>
          <w:u w:val="single"/>
        </w:rPr>
        <w:t>Enhancement of fire or wind resistance;</w:t>
      </w:r>
      <w:bookmarkStart w:id="26" w:name="co_anchor_IA15865E1D21311EDA1629F7FF4483"/>
      <w:bookmarkStart w:id="27" w:name="co_pp_2f1f000042ed7_0_1"/>
      <w:bookmarkEnd w:id="26"/>
      <w:bookmarkEnd w:id="27"/>
    </w:p>
    <w:p w14:paraId="2C3976C6" w14:textId="062B84B5" w:rsidR="00915C7F" w:rsidRPr="00DE7F68" w:rsidRDefault="005B38C4" w:rsidP="005B38C4">
      <w:pPr>
        <w:widowControl w:val="0"/>
        <w:autoSpaceDE w:val="0"/>
        <w:autoSpaceDN w:val="0"/>
        <w:adjustRightInd w:val="0"/>
        <w:ind w:firstLine="720"/>
        <w:jc w:val="both"/>
        <w:rPr>
          <w:rFonts w:cs="Arial"/>
          <w:color w:val="auto"/>
          <w:u w:val="single"/>
        </w:rPr>
      </w:pPr>
      <w:r w:rsidRPr="00DE7F68">
        <w:rPr>
          <w:rFonts w:cs="Arial"/>
          <w:color w:val="auto"/>
          <w:u w:val="single"/>
        </w:rPr>
        <w:t xml:space="preserve">(E) </w:t>
      </w:r>
      <w:r w:rsidR="00915C7F" w:rsidRPr="00DE7F68">
        <w:rPr>
          <w:rFonts w:cs="Arial"/>
          <w:color w:val="auto"/>
          <w:u w:val="single"/>
        </w:rPr>
        <w:t>Microgrids;</w:t>
      </w:r>
      <w:bookmarkStart w:id="28" w:name="co_anchor_IA15865E2D21311EDA1629F7FF4483"/>
      <w:bookmarkStart w:id="29" w:name="co_pp_d6f7000091cc6_0_1"/>
      <w:bookmarkEnd w:id="28"/>
      <w:bookmarkEnd w:id="29"/>
    </w:p>
    <w:p w14:paraId="338E49D8" w14:textId="75DBD975" w:rsidR="00915C7F" w:rsidRPr="00DE7F68" w:rsidRDefault="005B38C4" w:rsidP="005B38C4">
      <w:pPr>
        <w:widowControl w:val="0"/>
        <w:autoSpaceDE w:val="0"/>
        <w:autoSpaceDN w:val="0"/>
        <w:adjustRightInd w:val="0"/>
        <w:ind w:firstLine="720"/>
        <w:jc w:val="both"/>
        <w:rPr>
          <w:rFonts w:cs="Arial"/>
          <w:color w:val="auto"/>
          <w:u w:val="single"/>
        </w:rPr>
      </w:pPr>
      <w:r w:rsidRPr="00DE7F68">
        <w:rPr>
          <w:rFonts w:cs="Arial"/>
          <w:color w:val="auto"/>
          <w:u w:val="single"/>
        </w:rPr>
        <w:t xml:space="preserve">(F) </w:t>
      </w:r>
      <w:r w:rsidR="00915C7F" w:rsidRPr="00DE7F68">
        <w:rPr>
          <w:rFonts w:cs="Arial"/>
          <w:color w:val="auto"/>
          <w:u w:val="single"/>
        </w:rPr>
        <w:t>Energy storage; an</w:t>
      </w:r>
      <w:bookmarkStart w:id="30" w:name="co_anchor_IA15865E3D21311EDA1629F7FF4483"/>
      <w:bookmarkStart w:id="31" w:name="co_pp_2dfb000087a75_0_1"/>
      <w:bookmarkEnd w:id="30"/>
      <w:bookmarkEnd w:id="31"/>
      <w:r w:rsidR="00915C7F" w:rsidRPr="00DE7F68">
        <w:rPr>
          <w:rFonts w:cs="Arial"/>
          <w:color w:val="auto"/>
          <w:u w:val="single"/>
        </w:rPr>
        <w:t>d</w:t>
      </w:r>
    </w:p>
    <w:p w14:paraId="74B3BAFB" w14:textId="7B8CB048" w:rsidR="00915C7F" w:rsidRPr="00DE7F68" w:rsidRDefault="005B38C4" w:rsidP="005B38C4">
      <w:pPr>
        <w:widowControl w:val="0"/>
        <w:autoSpaceDE w:val="0"/>
        <w:autoSpaceDN w:val="0"/>
        <w:adjustRightInd w:val="0"/>
        <w:ind w:firstLine="720"/>
        <w:jc w:val="both"/>
        <w:rPr>
          <w:rFonts w:cs="Arial"/>
          <w:color w:val="auto"/>
          <w:u w:val="single"/>
        </w:rPr>
      </w:pPr>
      <w:r w:rsidRPr="00DE7F68">
        <w:rPr>
          <w:rFonts w:cs="Arial"/>
          <w:color w:val="auto"/>
          <w:u w:val="single"/>
        </w:rPr>
        <w:t xml:space="preserve">(G) </w:t>
      </w:r>
      <w:r w:rsidR="00915C7F" w:rsidRPr="00DE7F68">
        <w:rPr>
          <w:rFonts w:cs="Arial"/>
          <w:color w:val="auto"/>
          <w:u w:val="single"/>
        </w:rPr>
        <w:t>Enhancement of the resilience capacity of a natural system, structure, or infrastructure.</w:t>
      </w:r>
    </w:p>
    <w:p w14:paraId="2E193562" w14:textId="41E9DCDC" w:rsidR="00915C7F" w:rsidRPr="00DE7F68" w:rsidRDefault="005B38C4" w:rsidP="005B38C4">
      <w:pPr>
        <w:widowControl w:val="0"/>
        <w:autoSpaceDE w:val="0"/>
        <w:autoSpaceDN w:val="0"/>
        <w:adjustRightInd w:val="0"/>
        <w:ind w:firstLine="720"/>
        <w:jc w:val="both"/>
        <w:rPr>
          <w:rFonts w:cs="Arial"/>
          <w:color w:val="auto"/>
          <w:u w:val="single"/>
        </w:rPr>
      </w:pPr>
      <w:r w:rsidRPr="00DE7F68">
        <w:rPr>
          <w:rFonts w:cs="Arial"/>
          <w:color w:val="auto"/>
          <w:u w:val="single"/>
        </w:rPr>
        <w:t xml:space="preserve">(b) </w:t>
      </w:r>
      <w:r w:rsidR="00915C7F" w:rsidRPr="00DE7F68">
        <w:rPr>
          <w:rFonts w:cs="Arial"/>
          <w:color w:val="auto"/>
          <w:u w:val="single"/>
        </w:rPr>
        <w:t>The West Virginia Economic Development Authority shall serve as the statewide sponsor for a loan program that meets the requirements of this section. The West Virginia Economic Development Authority shall engage a private program administrator through a competitive selection process to develop the statewide loan program. A locality, in its adoption of its C-PACE ordinance described in subsection (d), shall opt into the statewide C-PACE loan program sponsored by the West Virginia Economic Development Authority.</w:t>
      </w:r>
    </w:p>
    <w:p w14:paraId="1821B05E" w14:textId="54C42C01" w:rsidR="00915C7F" w:rsidRPr="00DE7F68" w:rsidRDefault="005B38C4" w:rsidP="005B38C4">
      <w:pPr>
        <w:widowControl w:val="0"/>
        <w:autoSpaceDE w:val="0"/>
        <w:autoSpaceDN w:val="0"/>
        <w:adjustRightInd w:val="0"/>
        <w:ind w:firstLine="720"/>
        <w:jc w:val="both"/>
        <w:rPr>
          <w:rFonts w:cs="Arial"/>
          <w:color w:val="auto"/>
          <w:u w:val="single"/>
        </w:rPr>
      </w:pPr>
      <w:r w:rsidRPr="00DE7F68">
        <w:rPr>
          <w:rFonts w:cs="Arial"/>
          <w:color w:val="auto"/>
          <w:u w:val="single"/>
        </w:rPr>
        <w:t xml:space="preserve">(c) </w:t>
      </w:r>
      <w:r w:rsidR="00915C7F" w:rsidRPr="00DE7F68">
        <w:rPr>
          <w:rFonts w:cs="Arial"/>
          <w:color w:val="auto"/>
          <w:u w:val="single"/>
        </w:rPr>
        <w:t>The loan program to be established by the West Virginia Economic Development Authority may refer to the mode of financing as Commercial Property Assessed Capital Expenditures (C-PACE) financing and shall include but not be limited to the following:</w:t>
      </w:r>
      <w:bookmarkStart w:id="32" w:name="co_anchor_IA15865E5D21311EDA1629F7FF4483"/>
      <w:bookmarkEnd w:id="32"/>
    </w:p>
    <w:p w14:paraId="38ACBC3B" w14:textId="77777777" w:rsidR="005B38C4" w:rsidRPr="00DE7F68" w:rsidRDefault="005B38C4" w:rsidP="005B38C4">
      <w:pPr>
        <w:widowControl w:val="0"/>
        <w:autoSpaceDE w:val="0"/>
        <w:autoSpaceDN w:val="0"/>
        <w:adjustRightInd w:val="0"/>
        <w:ind w:firstLine="720"/>
        <w:jc w:val="both"/>
        <w:rPr>
          <w:rFonts w:cs="Arial"/>
          <w:color w:val="auto"/>
          <w:u w:val="single"/>
        </w:rPr>
      </w:pPr>
      <w:bookmarkStart w:id="33" w:name="co_pp_e8d1000086783_1"/>
      <w:bookmarkEnd w:id="33"/>
      <w:r w:rsidRPr="00DE7F68">
        <w:rPr>
          <w:rFonts w:cs="Arial"/>
          <w:color w:val="auto"/>
          <w:u w:val="single"/>
        </w:rPr>
        <w:t xml:space="preserve">(1) </w:t>
      </w:r>
      <w:r w:rsidR="00915C7F" w:rsidRPr="00DE7F68">
        <w:rPr>
          <w:rFonts w:cs="Arial"/>
          <w:color w:val="auto"/>
          <w:u w:val="single"/>
        </w:rPr>
        <w:t>The kinds of eligible improvements that qualify for loans;</w:t>
      </w:r>
      <w:bookmarkStart w:id="34" w:name="co_anchor_IA15865E6D21311EDA1629F7FF4483"/>
      <w:bookmarkStart w:id="35" w:name="co_pp_f6690000581e0_1"/>
      <w:bookmarkEnd w:id="34"/>
      <w:bookmarkEnd w:id="35"/>
    </w:p>
    <w:p w14:paraId="1268FAA6" w14:textId="0A00EF07" w:rsidR="00915C7F" w:rsidRPr="00DE7F68" w:rsidRDefault="005B38C4" w:rsidP="005B38C4">
      <w:pPr>
        <w:widowControl w:val="0"/>
        <w:autoSpaceDE w:val="0"/>
        <w:autoSpaceDN w:val="0"/>
        <w:adjustRightInd w:val="0"/>
        <w:ind w:firstLine="720"/>
        <w:jc w:val="both"/>
        <w:rPr>
          <w:rFonts w:cs="Arial"/>
          <w:color w:val="auto"/>
          <w:u w:val="single"/>
        </w:rPr>
      </w:pPr>
      <w:r w:rsidRPr="00DE7F68">
        <w:rPr>
          <w:rFonts w:cs="Arial"/>
          <w:color w:val="auto"/>
          <w:u w:val="single"/>
        </w:rPr>
        <w:t xml:space="preserve">(2) </w:t>
      </w:r>
      <w:r w:rsidR="00915C7F" w:rsidRPr="00DE7F68">
        <w:rPr>
          <w:rFonts w:cs="Arial"/>
          <w:color w:val="auto"/>
          <w:u w:val="single"/>
        </w:rPr>
        <w:t xml:space="preserve">Identification of any fee that the West Virginia Economic Development Authority intends to impose on the property owner requesting to participate in the loan program to offset the cost of administering the loan program. The fee may be assessed as a program fee paid by </w:t>
      </w:r>
      <w:r w:rsidR="00915C7F" w:rsidRPr="00DE7F68">
        <w:rPr>
          <w:rFonts w:cs="Arial"/>
          <w:color w:val="auto"/>
          <w:u w:val="single"/>
        </w:rPr>
        <w:lastRenderedPageBreak/>
        <w:t>the property owner requesting to participate in the program; an</w:t>
      </w:r>
      <w:bookmarkStart w:id="36" w:name="co_anchor_IA15865EBD21311EDA1629F7FF4483"/>
      <w:bookmarkEnd w:id="36"/>
      <w:r w:rsidR="00915C7F" w:rsidRPr="00DE7F68">
        <w:rPr>
          <w:rFonts w:cs="Arial"/>
          <w:color w:val="auto"/>
          <w:u w:val="single"/>
        </w:rPr>
        <w:t>d</w:t>
      </w:r>
      <w:bookmarkStart w:id="37" w:name="co_pp_47fd0000544d2_1"/>
      <w:bookmarkEnd w:id="37"/>
    </w:p>
    <w:p w14:paraId="1DAF246E" w14:textId="77777777" w:rsidR="005B38C4" w:rsidRPr="00DE7F68" w:rsidRDefault="005B38C4" w:rsidP="005B38C4">
      <w:pPr>
        <w:widowControl w:val="0"/>
        <w:autoSpaceDE w:val="0"/>
        <w:autoSpaceDN w:val="0"/>
        <w:adjustRightInd w:val="0"/>
        <w:spacing w:before="200"/>
        <w:ind w:firstLine="720"/>
        <w:jc w:val="both"/>
        <w:rPr>
          <w:rFonts w:cs="Arial"/>
          <w:color w:val="auto"/>
          <w:u w:val="single"/>
        </w:rPr>
      </w:pPr>
      <w:r w:rsidRPr="00DE7F68">
        <w:rPr>
          <w:rFonts w:cs="Arial"/>
          <w:color w:val="auto"/>
          <w:u w:val="single"/>
        </w:rPr>
        <w:t xml:space="preserve">(3) </w:t>
      </w:r>
      <w:r w:rsidR="00915C7F" w:rsidRPr="00DE7F68">
        <w:rPr>
          <w:rFonts w:cs="Arial"/>
          <w:color w:val="auto"/>
          <w:u w:val="single"/>
        </w:rPr>
        <w:t>A draft contract specifying the terms and conditions proposed by the West Virginia Economic Development Authority.</w:t>
      </w:r>
    </w:p>
    <w:p w14:paraId="0859478C" w14:textId="3D48A693" w:rsidR="00915C7F" w:rsidRPr="00DE7F68" w:rsidRDefault="005B38C4" w:rsidP="005B38C4">
      <w:pPr>
        <w:widowControl w:val="0"/>
        <w:autoSpaceDE w:val="0"/>
        <w:autoSpaceDN w:val="0"/>
        <w:adjustRightInd w:val="0"/>
        <w:spacing w:before="200"/>
        <w:ind w:firstLine="720"/>
        <w:jc w:val="both"/>
        <w:rPr>
          <w:rFonts w:cs="Arial"/>
          <w:color w:val="auto"/>
          <w:u w:val="single"/>
        </w:rPr>
      </w:pPr>
      <w:r w:rsidRPr="00DE7F68">
        <w:rPr>
          <w:rFonts w:cs="Arial"/>
          <w:color w:val="auto"/>
          <w:u w:val="single"/>
        </w:rPr>
        <w:t xml:space="preserve">(d) </w:t>
      </w:r>
      <w:r w:rsidR="00915C7F" w:rsidRPr="00DE7F68">
        <w:rPr>
          <w:rFonts w:cs="Arial"/>
          <w:color w:val="auto"/>
          <w:u w:val="single"/>
        </w:rPr>
        <w:t>The West Virginia Economic Development Authority shall offer private lending institutions the opportunity to participate in its C-PACE loan program established pursuant to this section.</w:t>
      </w:r>
      <w:bookmarkStart w:id="38" w:name="co_anchor_IA15865EED21311EDA1629F7FF4483"/>
      <w:bookmarkEnd w:id="38"/>
    </w:p>
    <w:p w14:paraId="641A682D" w14:textId="47275C78" w:rsidR="00915C7F" w:rsidRPr="00DE7F68" w:rsidRDefault="005B38C4" w:rsidP="005B38C4">
      <w:pPr>
        <w:widowControl w:val="0"/>
        <w:autoSpaceDE w:val="0"/>
        <w:autoSpaceDN w:val="0"/>
        <w:adjustRightInd w:val="0"/>
        <w:spacing w:before="200"/>
        <w:ind w:firstLine="720"/>
        <w:jc w:val="both"/>
        <w:rPr>
          <w:rFonts w:cs="Arial"/>
          <w:color w:val="auto"/>
          <w:u w:val="single"/>
        </w:rPr>
      </w:pPr>
      <w:bookmarkStart w:id="39" w:name="co_pp_a141000081683_1"/>
      <w:bookmarkEnd w:id="39"/>
      <w:r w:rsidRPr="00DE7F68">
        <w:rPr>
          <w:rFonts w:cs="Arial"/>
          <w:color w:val="auto"/>
          <w:u w:val="single"/>
        </w:rPr>
        <w:t xml:space="preserve">(e) </w:t>
      </w:r>
      <w:r w:rsidR="00915C7F" w:rsidRPr="00DE7F68">
        <w:rPr>
          <w:rFonts w:cs="Arial"/>
          <w:color w:val="auto"/>
          <w:u w:val="single"/>
        </w:rPr>
        <w:t>Any locality may, (i) by ordinance, authorize the use of C-PACE loans for the initial acquisition, installation, and refinancing of eligible improvements located on eligible properties by free and willing property owners of such eligible properties, (ii) by ordinance, identify a local official authorized to enter into contracts on behalf of the locality, and (iii) either by ordinance or its program guide, delegate the billing; collection, including enforcement; and remittance of C-PACE loan payments to a third party.</w:t>
      </w:r>
    </w:p>
    <w:p w14:paraId="641B6787" w14:textId="6FF80C8B" w:rsidR="00915C7F" w:rsidRPr="00DE7F68" w:rsidRDefault="005B38C4" w:rsidP="005B38C4">
      <w:pPr>
        <w:widowControl w:val="0"/>
        <w:autoSpaceDE w:val="0"/>
        <w:autoSpaceDN w:val="0"/>
        <w:adjustRightInd w:val="0"/>
        <w:spacing w:before="200"/>
        <w:ind w:firstLine="720"/>
        <w:jc w:val="both"/>
        <w:rPr>
          <w:rFonts w:cs="Arial"/>
          <w:color w:val="auto"/>
          <w:u w:val="single"/>
        </w:rPr>
      </w:pPr>
      <w:r w:rsidRPr="00DE7F68">
        <w:rPr>
          <w:rFonts w:cs="Arial"/>
          <w:color w:val="auto"/>
          <w:u w:val="single"/>
        </w:rPr>
        <w:t xml:space="preserve">(f) </w:t>
      </w:r>
      <w:r w:rsidR="00915C7F" w:rsidRPr="00DE7F68">
        <w:rPr>
          <w:rFonts w:cs="Arial"/>
          <w:color w:val="auto"/>
          <w:u w:val="single"/>
        </w:rPr>
        <w:t>In order to secure any loan authorized pursuant to this section, the locality shall place a voluntary special assessment lien equal in value to the loan against any property where such eligible improvements are being installed. The placement of a voluntary special assessment lien shall not require a new assessment on the value of the real property that is being improved under the loan program.</w:t>
      </w:r>
      <w:bookmarkStart w:id="40" w:name="co_anchor_IA15865EFD21311EDA1629F7FF4483"/>
      <w:bookmarkEnd w:id="40"/>
    </w:p>
    <w:p w14:paraId="0A5F9670" w14:textId="2B2E818A" w:rsidR="00915C7F" w:rsidRPr="00DE7F68" w:rsidRDefault="005B38C4" w:rsidP="005B38C4">
      <w:pPr>
        <w:widowControl w:val="0"/>
        <w:autoSpaceDE w:val="0"/>
        <w:autoSpaceDN w:val="0"/>
        <w:adjustRightInd w:val="0"/>
        <w:spacing w:before="200"/>
        <w:ind w:firstLine="720"/>
        <w:jc w:val="both"/>
        <w:rPr>
          <w:rFonts w:cs="Arial"/>
          <w:color w:val="auto"/>
          <w:u w:val="single"/>
        </w:rPr>
      </w:pPr>
      <w:bookmarkStart w:id="41" w:name="co_pp_e42d00007a170_1"/>
      <w:bookmarkEnd w:id="41"/>
      <w:r w:rsidRPr="00DE7F68">
        <w:rPr>
          <w:rFonts w:cs="Arial"/>
          <w:color w:val="auto"/>
          <w:u w:val="single"/>
        </w:rPr>
        <w:t xml:space="preserve">(g) </w:t>
      </w:r>
      <w:r w:rsidR="00915C7F" w:rsidRPr="00DE7F68">
        <w:rPr>
          <w:rFonts w:cs="Arial"/>
          <w:color w:val="auto"/>
          <w:u w:val="single"/>
        </w:rPr>
        <w:t>A voluntary special assessment lien imposed on real property under this section:</w:t>
      </w:r>
      <w:bookmarkStart w:id="42" w:name="co_anchor_IA15865F0D21311EDA1629F7FF4483"/>
      <w:bookmarkStart w:id="43" w:name="co_pp_d14700005e7b3_1"/>
      <w:bookmarkEnd w:id="42"/>
      <w:bookmarkEnd w:id="43"/>
    </w:p>
    <w:p w14:paraId="101B0BD9" w14:textId="137BD323" w:rsidR="00915C7F" w:rsidRPr="00DE7F68" w:rsidRDefault="005B38C4" w:rsidP="005B38C4">
      <w:pPr>
        <w:widowControl w:val="0"/>
        <w:autoSpaceDE w:val="0"/>
        <w:autoSpaceDN w:val="0"/>
        <w:adjustRightInd w:val="0"/>
        <w:spacing w:before="200"/>
        <w:ind w:firstLine="720"/>
        <w:jc w:val="both"/>
        <w:rPr>
          <w:rFonts w:cs="Arial"/>
          <w:color w:val="auto"/>
          <w:u w:val="single"/>
        </w:rPr>
      </w:pPr>
      <w:r w:rsidRPr="00DE7F68">
        <w:rPr>
          <w:rFonts w:cs="Arial"/>
          <w:color w:val="auto"/>
          <w:u w:val="single"/>
        </w:rPr>
        <w:t xml:space="preserve">(1) </w:t>
      </w:r>
      <w:r w:rsidR="00915C7F" w:rsidRPr="00DE7F68">
        <w:rPr>
          <w:rFonts w:cs="Arial"/>
          <w:color w:val="auto"/>
          <w:u w:val="single"/>
        </w:rPr>
        <w:t>Shall have the same priority status as a property tax lien against real property, except that such voluntary special assessment lien shall have priority over any previously recorded mortgage or deed of trust lien only if (i) a written subordination agreement, in a form and substance acceptable to each prior lienholder in its sole and exclusive discretion, is executed by the holder of each mortgage or deed of trust lien on the property and recorded with the special assessment lien in the land records where the property is located, and (ii) evidence that the property owner is current on payments on loans secured by a mortgage or deed of trust lien on the property and on property tax payments, that the property owner is not insolvent or in bankruptcy proceedings, and that the title of the benefited property is not in dispute is submitted to the locality prior to recording of the special assessment lien;</w:t>
      </w:r>
      <w:bookmarkStart w:id="44" w:name="co_anchor_IA15865F1D21311EDA1629F7FF4483"/>
      <w:bookmarkStart w:id="45" w:name="co_pp_68fd000008df6_1"/>
      <w:bookmarkEnd w:id="44"/>
      <w:bookmarkEnd w:id="45"/>
    </w:p>
    <w:p w14:paraId="78A25068" w14:textId="74924849" w:rsidR="00915C7F" w:rsidRPr="00DE7F68" w:rsidRDefault="005B38C4" w:rsidP="005B38C4">
      <w:pPr>
        <w:widowControl w:val="0"/>
        <w:autoSpaceDE w:val="0"/>
        <w:autoSpaceDN w:val="0"/>
        <w:adjustRightInd w:val="0"/>
        <w:spacing w:before="200"/>
        <w:ind w:firstLine="720"/>
        <w:jc w:val="both"/>
        <w:rPr>
          <w:rFonts w:cs="Arial"/>
          <w:color w:val="auto"/>
          <w:u w:val="single"/>
        </w:rPr>
      </w:pPr>
      <w:r w:rsidRPr="00DE7F68">
        <w:rPr>
          <w:rFonts w:cs="Arial"/>
          <w:color w:val="auto"/>
          <w:u w:val="single"/>
        </w:rPr>
        <w:t xml:space="preserve">(2) </w:t>
      </w:r>
      <w:r w:rsidR="00915C7F" w:rsidRPr="00DE7F68">
        <w:rPr>
          <w:rFonts w:cs="Arial"/>
          <w:color w:val="auto"/>
          <w:u w:val="single"/>
        </w:rPr>
        <w:t>Shall run with the land, and that portion of the assessment under the assessment contract that has not yet become due is not eliminated by foreclosure of a property tax lien</w:t>
      </w:r>
      <w:bookmarkStart w:id="46" w:name="co_anchor_IA15865F2D21311EDA1629F7FF4483"/>
      <w:bookmarkStart w:id="47" w:name="co_pp_0eca0000ff3f1_1"/>
      <w:bookmarkEnd w:id="46"/>
      <w:bookmarkEnd w:id="47"/>
      <w:r w:rsidR="00915C7F" w:rsidRPr="00DE7F68">
        <w:rPr>
          <w:rFonts w:cs="Arial"/>
          <w:color w:val="auto"/>
          <w:u w:val="single"/>
        </w:rPr>
        <w:t>;</w:t>
      </w:r>
    </w:p>
    <w:p w14:paraId="05F3980D" w14:textId="6F5CB888" w:rsidR="00915C7F" w:rsidRPr="00DE7F68" w:rsidRDefault="005B38C4" w:rsidP="005B38C4">
      <w:pPr>
        <w:widowControl w:val="0"/>
        <w:autoSpaceDE w:val="0"/>
        <w:autoSpaceDN w:val="0"/>
        <w:adjustRightInd w:val="0"/>
        <w:spacing w:before="200"/>
        <w:ind w:firstLine="720"/>
        <w:jc w:val="both"/>
        <w:rPr>
          <w:rFonts w:cs="Arial"/>
          <w:color w:val="auto"/>
          <w:u w:val="single"/>
        </w:rPr>
      </w:pPr>
      <w:r w:rsidRPr="00DE7F68">
        <w:rPr>
          <w:rFonts w:cs="Arial"/>
          <w:color w:val="auto"/>
          <w:u w:val="single"/>
        </w:rPr>
        <w:t xml:space="preserve">(3) </w:t>
      </w:r>
      <w:r w:rsidR="00915C7F" w:rsidRPr="00DE7F68">
        <w:rPr>
          <w:rFonts w:cs="Arial"/>
          <w:color w:val="auto"/>
          <w:u w:val="single"/>
        </w:rPr>
        <w:t>May be enforced by the local government consistent with other fees imposed by local governments, and the local government shall be entitled to recover costs and expenses, including attorney fees, in a suit to collect a delinquent installment of an assessment in the same manner as in a suit to collect other locality imposed fees; and</w:t>
      </w:r>
    </w:p>
    <w:p w14:paraId="6D1CDE59" w14:textId="0DD7E3AE" w:rsidR="00915C7F" w:rsidRPr="00DE7F68" w:rsidRDefault="005B38C4" w:rsidP="005B38C4">
      <w:pPr>
        <w:widowControl w:val="0"/>
        <w:autoSpaceDE w:val="0"/>
        <w:autoSpaceDN w:val="0"/>
        <w:adjustRightInd w:val="0"/>
        <w:spacing w:before="200"/>
        <w:ind w:firstLine="720"/>
        <w:jc w:val="both"/>
        <w:rPr>
          <w:rFonts w:cs="Arial"/>
          <w:color w:val="auto"/>
          <w:u w:val="single"/>
        </w:rPr>
      </w:pPr>
      <w:r w:rsidRPr="00DE7F68">
        <w:rPr>
          <w:rFonts w:cs="Arial"/>
          <w:color w:val="auto"/>
          <w:u w:val="single"/>
        </w:rPr>
        <w:t xml:space="preserve">(4) </w:t>
      </w:r>
      <w:r w:rsidR="00915C7F" w:rsidRPr="00DE7F68">
        <w:rPr>
          <w:rFonts w:cs="Arial"/>
          <w:color w:val="auto"/>
          <w:u w:val="single"/>
        </w:rPr>
        <w:t>May incur interest and penalties for delinquent installments of the assessment in the same manner as delinquent property taxes.</w:t>
      </w:r>
      <w:bookmarkStart w:id="48" w:name="co_anchor_IA15865F4D21311EDA1629F7FF4483"/>
      <w:bookmarkStart w:id="49" w:name="co_pp_bc19000040c16_1"/>
      <w:bookmarkEnd w:id="48"/>
      <w:bookmarkEnd w:id="49"/>
    </w:p>
    <w:p w14:paraId="4272E319" w14:textId="078ADBF2" w:rsidR="008736AA" w:rsidRPr="00DE7F68" w:rsidRDefault="00915C7F" w:rsidP="005B38C4">
      <w:pPr>
        <w:pStyle w:val="SectionBody"/>
        <w:rPr>
          <w:color w:val="auto"/>
        </w:rPr>
      </w:pPr>
      <w:r w:rsidRPr="00DE7F68">
        <w:rPr>
          <w:rFonts w:cs="Arial"/>
          <w:color w:val="auto"/>
          <w:u w:val="single"/>
        </w:rPr>
        <w:t>Prior to the enactment of an ordinance by any locality pursuant to this section, a public hearing shall be held at which interested persons may object to or inquire about the proposed loan program or any of its particulars. The public hearing shall be published once a week for two successive weeks, with the first notice appearing no more than 14 days before the hearing, in a newspaper of general circulation in the locality.</w:t>
      </w:r>
    </w:p>
    <w:p w14:paraId="4C7F1C96" w14:textId="77777777" w:rsidR="00C33014" w:rsidRPr="00DE7F68" w:rsidRDefault="00C33014" w:rsidP="00CC1F3B">
      <w:pPr>
        <w:pStyle w:val="Note"/>
        <w:rPr>
          <w:color w:val="auto"/>
        </w:rPr>
      </w:pPr>
    </w:p>
    <w:p w14:paraId="4378838E" w14:textId="17570B9F" w:rsidR="006865E9" w:rsidRPr="00DE7F68" w:rsidRDefault="00CF1DCA" w:rsidP="00CC1F3B">
      <w:pPr>
        <w:pStyle w:val="Note"/>
        <w:rPr>
          <w:color w:val="auto"/>
        </w:rPr>
      </w:pPr>
      <w:r w:rsidRPr="00DE7F68">
        <w:rPr>
          <w:color w:val="auto"/>
        </w:rPr>
        <w:t xml:space="preserve">NOTE: </w:t>
      </w:r>
      <w:r w:rsidR="00915C7F" w:rsidRPr="00DE7F68">
        <w:rPr>
          <w:color w:val="auto"/>
        </w:rPr>
        <w:t>The purpose of this bill is to establish a commercial property assessed capital expenditures financing program for localities.</w:t>
      </w:r>
    </w:p>
    <w:p w14:paraId="015BA8FE" w14:textId="77777777" w:rsidR="006865E9" w:rsidRPr="00DE7F68" w:rsidRDefault="00AE48A0" w:rsidP="00CC1F3B">
      <w:pPr>
        <w:pStyle w:val="Note"/>
        <w:rPr>
          <w:color w:val="auto"/>
        </w:rPr>
      </w:pPr>
      <w:r w:rsidRPr="00DE7F68">
        <w:rPr>
          <w:color w:val="auto"/>
        </w:rPr>
        <w:t>Strike-throughs indicate language that would be stricken from a heading or the present law and underscoring indicates new language that would be added.</w:t>
      </w:r>
    </w:p>
    <w:sectPr w:rsidR="006865E9" w:rsidRPr="00DE7F68"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A6584" w14:textId="77777777" w:rsidR="00915C7F" w:rsidRPr="00B844FE" w:rsidRDefault="00915C7F" w:rsidP="00B844FE">
      <w:r>
        <w:separator/>
      </w:r>
    </w:p>
  </w:endnote>
  <w:endnote w:type="continuationSeparator" w:id="0">
    <w:p w14:paraId="281D8D2B" w14:textId="77777777" w:rsidR="00915C7F" w:rsidRPr="00B844FE" w:rsidRDefault="00915C7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04C570E"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BB46E4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020671A"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D15ED" w14:textId="77777777" w:rsidR="00B51889" w:rsidRDefault="00B518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ED9E9" w14:textId="77777777" w:rsidR="00915C7F" w:rsidRPr="00B844FE" w:rsidRDefault="00915C7F" w:rsidP="00B844FE">
      <w:r>
        <w:separator/>
      </w:r>
    </w:p>
  </w:footnote>
  <w:footnote w:type="continuationSeparator" w:id="0">
    <w:p w14:paraId="7B7B7F75" w14:textId="77777777" w:rsidR="00915C7F" w:rsidRPr="00B844FE" w:rsidRDefault="00915C7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B0ABA" w14:textId="77777777" w:rsidR="002A0269" w:rsidRPr="00B844FE" w:rsidRDefault="003A061B">
    <w:pPr>
      <w:pStyle w:val="Header"/>
    </w:pPr>
    <w:sdt>
      <w:sdtPr>
        <w:id w:val="-684364211"/>
        <w:placeholder>
          <w:docPart w:val="7DA4913CF18A454A8CAA04C919FF13AE"/>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7DA4913CF18A454A8CAA04C919FF13AE"/>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7BCF3" w14:textId="38D589FE"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r w:rsidR="00915C7F">
      <w:rPr>
        <w:sz w:val="22"/>
        <w:szCs w:val="22"/>
      </w:rPr>
      <w:t>HB</w:t>
    </w:r>
    <w:sdt>
      <w:sdtPr>
        <w:rPr>
          <w:sz w:val="22"/>
          <w:szCs w:val="22"/>
        </w:rPr>
        <w:tag w:val="BNumWH"/>
        <w:id w:val="138549797"/>
        <w:showingPlcHdr/>
        <w:text/>
      </w:sdtPr>
      <w:sdtEndP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915C7F">
          <w:rPr>
            <w:sz w:val="22"/>
            <w:szCs w:val="22"/>
          </w:rPr>
          <w:t>2025R2668</w:t>
        </w:r>
      </w:sdtContent>
    </w:sdt>
  </w:p>
  <w:p w14:paraId="0BD86D6E"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38279"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E49DA"/>
    <w:multiLevelType w:val="hybridMultilevel"/>
    <w:tmpl w:val="A50A0120"/>
    <w:lvl w:ilvl="0" w:tplc="916A2AB0">
      <w:start w:val="1"/>
      <w:numFmt w:val="lowerLetter"/>
      <w:lvlText w:val="(%1)"/>
      <w:lvlJc w:val="left"/>
      <w:pPr>
        <w:ind w:left="1260" w:hanging="360"/>
      </w:pPr>
    </w:lvl>
    <w:lvl w:ilvl="1" w:tplc="6A024584">
      <w:start w:val="1"/>
      <w:numFmt w:val="decimal"/>
      <w:lvlText w:val="(%2)"/>
      <w:lvlJc w:val="left"/>
      <w:pPr>
        <w:ind w:left="720" w:hanging="360"/>
      </w:pPr>
      <w:rPr>
        <w:strike w:val="0"/>
        <w:color w:val="auto"/>
      </w:rPr>
    </w:lvl>
    <w:lvl w:ilvl="2" w:tplc="771CD42E">
      <w:start w:val="1"/>
      <w:numFmt w:val="upperLetter"/>
      <w:lvlText w:val="(%3)"/>
      <w:lvlJc w:val="left"/>
      <w:pPr>
        <w:ind w:left="2880" w:hanging="360"/>
      </w:pPr>
    </w:lvl>
    <w:lvl w:ilvl="3" w:tplc="8C10E61E">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2" w15:restartNumberingAfterBreak="0">
    <w:nsid w:val="6D4838AF"/>
    <w:multiLevelType w:val="hybridMultilevel"/>
    <w:tmpl w:val="25A24186"/>
    <w:lvl w:ilvl="0" w:tplc="16D0801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9FDA071C">
      <w:start w:val="1"/>
      <w:numFmt w:val="decimal"/>
      <w:lvlText w:val="(%4)"/>
      <w:lvlJc w:val="left"/>
      <w:pPr>
        <w:ind w:left="90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700F4701"/>
    <w:multiLevelType w:val="hybridMultilevel"/>
    <w:tmpl w:val="47201040"/>
    <w:lvl w:ilvl="0" w:tplc="395CDCDA">
      <w:start w:val="1"/>
      <w:numFmt w:val="decimal"/>
      <w:lvlText w:val="(%1)"/>
      <w:lvlJc w:val="left"/>
      <w:pPr>
        <w:ind w:left="198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497963856">
    <w:abstractNumId w:val="1"/>
  </w:num>
  <w:num w:numId="2" w16cid:durableId="1354503649">
    <w:abstractNumId w:val="1"/>
  </w:num>
  <w:num w:numId="3" w16cid:durableId="19901635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3749190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124437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6825531">
    <w:abstractNumId w:val="0"/>
  </w:num>
  <w:num w:numId="7" w16cid:durableId="1831409645">
    <w:abstractNumId w:val="2"/>
  </w:num>
  <w:num w:numId="8" w16cid:durableId="816810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C7F"/>
    <w:rsid w:val="0000526A"/>
    <w:rsid w:val="000573A9"/>
    <w:rsid w:val="00085D22"/>
    <w:rsid w:val="00093AB0"/>
    <w:rsid w:val="000C5C77"/>
    <w:rsid w:val="000E3912"/>
    <w:rsid w:val="0010070F"/>
    <w:rsid w:val="0015112E"/>
    <w:rsid w:val="001552E7"/>
    <w:rsid w:val="001566B4"/>
    <w:rsid w:val="001A66B7"/>
    <w:rsid w:val="001C279E"/>
    <w:rsid w:val="001D459E"/>
    <w:rsid w:val="00211F02"/>
    <w:rsid w:val="0022348D"/>
    <w:rsid w:val="0027011C"/>
    <w:rsid w:val="00274200"/>
    <w:rsid w:val="00275740"/>
    <w:rsid w:val="002A0269"/>
    <w:rsid w:val="00303684"/>
    <w:rsid w:val="003143F5"/>
    <w:rsid w:val="00314854"/>
    <w:rsid w:val="00394191"/>
    <w:rsid w:val="003A061B"/>
    <w:rsid w:val="003C51CD"/>
    <w:rsid w:val="003C6034"/>
    <w:rsid w:val="00400B5C"/>
    <w:rsid w:val="004368E0"/>
    <w:rsid w:val="004C13DD"/>
    <w:rsid w:val="004D3ABE"/>
    <w:rsid w:val="004E3441"/>
    <w:rsid w:val="00500579"/>
    <w:rsid w:val="00565B35"/>
    <w:rsid w:val="005A5366"/>
    <w:rsid w:val="005B38C4"/>
    <w:rsid w:val="006070BD"/>
    <w:rsid w:val="006369EB"/>
    <w:rsid w:val="00637E73"/>
    <w:rsid w:val="006865E9"/>
    <w:rsid w:val="00686E9A"/>
    <w:rsid w:val="00691F3E"/>
    <w:rsid w:val="00694BFB"/>
    <w:rsid w:val="006A106B"/>
    <w:rsid w:val="006C523D"/>
    <w:rsid w:val="006D4036"/>
    <w:rsid w:val="007A5259"/>
    <w:rsid w:val="007A7081"/>
    <w:rsid w:val="007F1CF5"/>
    <w:rsid w:val="00834EDE"/>
    <w:rsid w:val="008736AA"/>
    <w:rsid w:val="008870C1"/>
    <w:rsid w:val="008D275D"/>
    <w:rsid w:val="00915C7F"/>
    <w:rsid w:val="00946186"/>
    <w:rsid w:val="00980327"/>
    <w:rsid w:val="00986478"/>
    <w:rsid w:val="00997623"/>
    <w:rsid w:val="009B5557"/>
    <w:rsid w:val="009F1067"/>
    <w:rsid w:val="00A31E01"/>
    <w:rsid w:val="00A40658"/>
    <w:rsid w:val="00A527AD"/>
    <w:rsid w:val="00A718CF"/>
    <w:rsid w:val="00AA069B"/>
    <w:rsid w:val="00AE48A0"/>
    <w:rsid w:val="00AE61BE"/>
    <w:rsid w:val="00B16F25"/>
    <w:rsid w:val="00B24422"/>
    <w:rsid w:val="00B51889"/>
    <w:rsid w:val="00B66B81"/>
    <w:rsid w:val="00B71E6F"/>
    <w:rsid w:val="00B80C20"/>
    <w:rsid w:val="00B844FE"/>
    <w:rsid w:val="00B86B4F"/>
    <w:rsid w:val="00BA1F84"/>
    <w:rsid w:val="00BC562B"/>
    <w:rsid w:val="00BE129F"/>
    <w:rsid w:val="00C22F06"/>
    <w:rsid w:val="00C33014"/>
    <w:rsid w:val="00C33434"/>
    <w:rsid w:val="00C34869"/>
    <w:rsid w:val="00C42EB6"/>
    <w:rsid w:val="00C43442"/>
    <w:rsid w:val="00C62327"/>
    <w:rsid w:val="00C85096"/>
    <w:rsid w:val="00CB20EF"/>
    <w:rsid w:val="00CC1F3B"/>
    <w:rsid w:val="00CD12CB"/>
    <w:rsid w:val="00CD36CF"/>
    <w:rsid w:val="00CF1DCA"/>
    <w:rsid w:val="00D579FC"/>
    <w:rsid w:val="00D81C16"/>
    <w:rsid w:val="00DE526B"/>
    <w:rsid w:val="00DE7F68"/>
    <w:rsid w:val="00DF199D"/>
    <w:rsid w:val="00E01542"/>
    <w:rsid w:val="00E365F1"/>
    <w:rsid w:val="00E62F48"/>
    <w:rsid w:val="00E831B3"/>
    <w:rsid w:val="00E95FBC"/>
    <w:rsid w:val="00EC5E63"/>
    <w:rsid w:val="00EE70CB"/>
    <w:rsid w:val="00F24BAF"/>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22A6EC"/>
  <w15:chartTrackingRefBased/>
  <w15:docId w15:val="{002C53AA-07A9-4572-933C-0F2372704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915C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qFormat/>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locked/>
    <w:rsid w:val="00915C7F"/>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6535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5143C78B56E44828B8B13BBC3AD8E21"/>
        <w:category>
          <w:name w:val="General"/>
          <w:gallery w:val="placeholder"/>
        </w:category>
        <w:types>
          <w:type w:val="bbPlcHdr"/>
        </w:types>
        <w:behaviors>
          <w:behavior w:val="content"/>
        </w:behaviors>
        <w:guid w:val="{4503EB1E-09FD-4288-92CA-BB48C37613D6}"/>
      </w:docPartPr>
      <w:docPartBody>
        <w:p w:rsidR="00F96597" w:rsidRDefault="00F96597">
          <w:pPr>
            <w:pStyle w:val="95143C78B56E44828B8B13BBC3AD8E21"/>
          </w:pPr>
          <w:r w:rsidRPr="00B844FE">
            <w:t>Prefix Text</w:t>
          </w:r>
        </w:p>
      </w:docPartBody>
    </w:docPart>
    <w:docPart>
      <w:docPartPr>
        <w:name w:val="7DA4913CF18A454A8CAA04C919FF13AE"/>
        <w:category>
          <w:name w:val="General"/>
          <w:gallery w:val="placeholder"/>
        </w:category>
        <w:types>
          <w:type w:val="bbPlcHdr"/>
        </w:types>
        <w:behaviors>
          <w:behavior w:val="content"/>
        </w:behaviors>
        <w:guid w:val="{61D5B01F-E780-4BE2-B57B-1EE9497C89F6}"/>
      </w:docPartPr>
      <w:docPartBody>
        <w:p w:rsidR="00F96597" w:rsidRDefault="00F96597">
          <w:pPr>
            <w:pStyle w:val="7DA4913CF18A454A8CAA04C919FF13AE"/>
          </w:pPr>
          <w:r w:rsidRPr="00B844FE">
            <w:t>[Type here]</w:t>
          </w:r>
        </w:p>
      </w:docPartBody>
    </w:docPart>
    <w:docPart>
      <w:docPartPr>
        <w:name w:val="D721E8FD9AD542D2A24E89D63E2B6828"/>
        <w:category>
          <w:name w:val="General"/>
          <w:gallery w:val="placeholder"/>
        </w:category>
        <w:types>
          <w:type w:val="bbPlcHdr"/>
        </w:types>
        <w:behaviors>
          <w:behavior w:val="content"/>
        </w:behaviors>
        <w:guid w:val="{5436A7E5-6E24-4C20-8A27-688221BDA820}"/>
      </w:docPartPr>
      <w:docPartBody>
        <w:p w:rsidR="00F96597" w:rsidRDefault="00F96597">
          <w:pPr>
            <w:pStyle w:val="D721E8FD9AD542D2A24E89D63E2B6828"/>
          </w:pPr>
          <w:r w:rsidRPr="00B844FE">
            <w:t>Number</w:t>
          </w:r>
        </w:p>
      </w:docPartBody>
    </w:docPart>
    <w:docPart>
      <w:docPartPr>
        <w:name w:val="8DB743B471FC4C20BE480F7147BF767E"/>
        <w:category>
          <w:name w:val="General"/>
          <w:gallery w:val="placeholder"/>
        </w:category>
        <w:types>
          <w:type w:val="bbPlcHdr"/>
        </w:types>
        <w:behaviors>
          <w:behavior w:val="content"/>
        </w:behaviors>
        <w:guid w:val="{43842367-347D-4CEF-9776-9142978CB55E}"/>
      </w:docPartPr>
      <w:docPartBody>
        <w:p w:rsidR="00F96597" w:rsidRDefault="00F96597">
          <w:pPr>
            <w:pStyle w:val="8DB743B471FC4C20BE480F7147BF767E"/>
          </w:pPr>
          <w:r w:rsidRPr="00B844FE">
            <w:t>Enter Sponsors Here</w:t>
          </w:r>
        </w:p>
      </w:docPartBody>
    </w:docPart>
    <w:docPart>
      <w:docPartPr>
        <w:name w:val="B4AA00129BD14530BD7B8B9961CE5EB2"/>
        <w:category>
          <w:name w:val="General"/>
          <w:gallery w:val="placeholder"/>
        </w:category>
        <w:types>
          <w:type w:val="bbPlcHdr"/>
        </w:types>
        <w:behaviors>
          <w:behavior w:val="content"/>
        </w:behaviors>
        <w:guid w:val="{0ADD6D1B-64A0-48DB-81AB-1A06ED9445D5}"/>
      </w:docPartPr>
      <w:docPartBody>
        <w:p w:rsidR="00F96597" w:rsidRDefault="00F96597">
          <w:pPr>
            <w:pStyle w:val="B4AA00129BD14530BD7B8B9961CE5EB2"/>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597"/>
    <w:rsid w:val="006070BD"/>
    <w:rsid w:val="00C43442"/>
    <w:rsid w:val="00F965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5143C78B56E44828B8B13BBC3AD8E21">
    <w:name w:val="95143C78B56E44828B8B13BBC3AD8E21"/>
  </w:style>
  <w:style w:type="paragraph" w:customStyle="1" w:styleId="7DA4913CF18A454A8CAA04C919FF13AE">
    <w:name w:val="7DA4913CF18A454A8CAA04C919FF13AE"/>
  </w:style>
  <w:style w:type="paragraph" w:customStyle="1" w:styleId="D721E8FD9AD542D2A24E89D63E2B6828">
    <w:name w:val="D721E8FD9AD542D2A24E89D63E2B6828"/>
  </w:style>
  <w:style w:type="paragraph" w:customStyle="1" w:styleId="8DB743B471FC4C20BE480F7147BF767E">
    <w:name w:val="8DB743B471FC4C20BE480F7147BF767E"/>
  </w:style>
  <w:style w:type="character" w:styleId="PlaceholderText">
    <w:name w:val="Placeholder Text"/>
    <w:basedOn w:val="DefaultParagraphFont"/>
    <w:uiPriority w:val="99"/>
    <w:semiHidden/>
    <w:rPr>
      <w:color w:val="808080"/>
    </w:rPr>
  </w:style>
  <w:style w:type="paragraph" w:customStyle="1" w:styleId="B4AA00129BD14530BD7B8B9961CE5EB2">
    <w:name w:val="B4AA00129BD14530BD7B8B9961CE5E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4</Pages>
  <Words>1102</Words>
  <Characters>6282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Sam Rowe</cp:lastModifiedBy>
  <cp:revision>2</cp:revision>
  <dcterms:created xsi:type="dcterms:W3CDTF">2025-02-19T20:54:00Z</dcterms:created>
  <dcterms:modified xsi:type="dcterms:W3CDTF">2025-02-19T20:54:00Z</dcterms:modified>
</cp:coreProperties>
</file>