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15F01" w14:textId="77777777" w:rsidR="00FE067E" w:rsidRDefault="00CD36CF" w:rsidP="00EF6030">
      <w:pPr>
        <w:pStyle w:val="TitlePageOrigin"/>
      </w:pPr>
      <w:r>
        <w:t>WEST virginia legislature</w:t>
      </w:r>
    </w:p>
    <w:p w14:paraId="52767F75" w14:textId="77777777" w:rsidR="00CD36CF" w:rsidRDefault="00CD36CF" w:rsidP="00EF6030">
      <w:pPr>
        <w:pStyle w:val="TitlePageSession"/>
      </w:pPr>
      <w:r>
        <w:t>20</w:t>
      </w:r>
      <w:r w:rsidR="006565E8">
        <w:t>2</w:t>
      </w:r>
      <w:r w:rsidR="00410475">
        <w:t>3</w:t>
      </w:r>
      <w:r>
        <w:t xml:space="preserve"> regular session</w:t>
      </w:r>
    </w:p>
    <w:p w14:paraId="27047A08" w14:textId="77777777" w:rsidR="00CD36CF" w:rsidRDefault="00DF1DD9" w:rsidP="00EF6030">
      <w:pPr>
        <w:pStyle w:val="TitlePageBillPrefix"/>
      </w:pPr>
      <w:sdt>
        <w:sdtPr>
          <w:tag w:val="IntroDate"/>
          <w:id w:val="-1236936958"/>
          <w:placeholder>
            <w:docPart w:val="9659789DB8CA4019993DECC73A2E3E44"/>
          </w:placeholder>
          <w:text/>
        </w:sdtPr>
        <w:sdtEndPr/>
        <w:sdtContent>
          <w:r w:rsidR="00AC3B58">
            <w:t>Committee Substitute</w:t>
          </w:r>
        </w:sdtContent>
      </w:sdt>
    </w:p>
    <w:p w14:paraId="71CA462B" w14:textId="77777777" w:rsidR="00AC3B58" w:rsidRPr="00AC3B58" w:rsidRDefault="00AC3B58" w:rsidP="00EF6030">
      <w:pPr>
        <w:pStyle w:val="TitlePageBillPrefix"/>
      </w:pPr>
      <w:r>
        <w:t>for</w:t>
      </w:r>
    </w:p>
    <w:p w14:paraId="77F2C179" w14:textId="77777777" w:rsidR="00CD36CF" w:rsidRDefault="00DF1DD9" w:rsidP="00EF6030">
      <w:pPr>
        <w:pStyle w:val="BillNumber"/>
      </w:pPr>
      <w:sdt>
        <w:sdtPr>
          <w:tag w:val="Chamber"/>
          <w:id w:val="893011969"/>
          <w:lock w:val="sdtLocked"/>
          <w:placeholder>
            <w:docPart w:val="9EE74D8B09BC43C4A3018D00C0212E88"/>
          </w:placeholder>
          <w:dropDownList>
            <w:listItem w:displayText="House" w:value="House"/>
            <w:listItem w:displayText="Senate" w:value="Senate"/>
          </w:dropDownList>
        </w:sdtPr>
        <w:sdtEndPr/>
        <w:sdtContent>
          <w:r w:rsidR="009C2105">
            <w:t>Senate</w:t>
          </w:r>
        </w:sdtContent>
      </w:sdt>
      <w:r w:rsidR="00303684">
        <w:t xml:space="preserve"> </w:t>
      </w:r>
      <w:r w:rsidR="00CD36CF">
        <w:t xml:space="preserve">Bill </w:t>
      </w:r>
      <w:sdt>
        <w:sdtPr>
          <w:tag w:val="BNum"/>
          <w:id w:val="1645317809"/>
          <w:lock w:val="sdtLocked"/>
          <w:placeholder>
            <w:docPart w:val="3FC979DD75A2499A83C12E2039D3AA88"/>
          </w:placeholder>
          <w:text/>
        </w:sdtPr>
        <w:sdtEndPr/>
        <w:sdtContent>
          <w:r w:rsidR="009C2105" w:rsidRPr="009C2105">
            <w:t>621</w:t>
          </w:r>
        </w:sdtContent>
      </w:sdt>
    </w:p>
    <w:p w14:paraId="36F547DA" w14:textId="44D1B170" w:rsidR="009C2105" w:rsidRDefault="009C2105" w:rsidP="00EF6030">
      <w:pPr>
        <w:pStyle w:val="References"/>
        <w:rPr>
          <w:smallCaps/>
        </w:rPr>
      </w:pPr>
      <w:r>
        <w:rPr>
          <w:smallCaps/>
        </w:rPr>
        <w:t>By Senator</w:t>
      </w:r>
      <w:r w:rsidR="009739E7">
        <w:rPr>
          <w:smallCaps/>
        </w:rPr>
        <w:t>s</w:t>
      </w:r>
      <w:r>
        <w:rPr>
          <w:smallCaps/>
        </w:rPr>
        <w:t xml:space="preserve"> Takubo</w:t>
      </w:r>
      <w:r w:rsidR="009739E7">
        <w:rPr>
          <w:smallCaps/>
        </w:rPr>
        <w:t xml:space="preserve"> and Deeds</w:t>
      </w:r>
    </w:p>
    <w:p w14:paraId="7AD24AA3" w14:textId="40D98FAC" w:rsidR="009C2105" w:rsidRDefault="00CD36CF" w:rsidP="00EF6030">
      <w:pPr>
        <w:pStyle w:val="References"/>
      </w:pPr>
      <w:r>
        <w:t>[</w:t>
      </w:r>
      <w:r w:rsidR="00002112">
        <w:t xml:space="preserve">Originating in the Committee on </w:t>
      </w:r>
      <w:sdt>
        <w:sdtPr>
          <w:tag w:val="References"/>
          <w:id w:val="-1043047873"/>
          <w:placeholder>
            <w:docPart w:val="DD41B6FBAAAE4B0EA8279CED41F0EAFD"/>
          </w:placeholder>
          <w:text w:multiLine="1"/>
        </w:sdtPr>
        <w:sdtEndPr/>
        <w:sdtContent>
          <w:r w:rsidR="00A40BDD">
            <w:t>the Judiciary</w:t>
          </w:r>
        </w:sdtContent>
      </w:sdt>
      <w:r w:rsidR="00002112">
        <w:t xml:space="preserve">; reported on </w:t>
      </w:r>
      <w:sdt>
        <w:sdtPr>
          <w:id w:val="-32107996"/>
          <w:placeholder>
            <w:docPart w:val="7E764D9F862F4C2FB9607595F7B4006C"/>
          </w:placeholder>
          <w:text/>
        </w:sdtPr>
        <w:sdtEndPr/>
        <w:sdtContent>
          <w:r w:rsidR="001521B8">
            <w:t>February 1</w:t>
          </w:r>
          <w:r w:rsidR="009739E7">
            <w:t>7</w:t>
          </w:r>
          <w:r w:rsidR="001521B8">
            <w:t>, 2023</w:t>
          </w:r>
        </w:sdtContent>
      </w:sdt>
      <w:r>
        <w:t>]</w:t>
      </w:r>
    </w:p>
    <w:p w14:paraId="70864440" w14:textId="77777777" w:rsidR="009C2105" w:rsidRDefault="009C2105" w:rsidP="009C2105">
      <w:pPr>
        <w:pStyle w:val="TitlePageOrigin"/>
      </w:pPr>
    </w:p>
    <w:p w14:paraId="69F540F6" w14:textId="77777777" w:rsidR="009C2105" w:rsidRPr="00F02687" w:rsidRDefault="009C2105" w:rsidP="009C2105">
      <w:pPr>
        <w:pStyle w:val="TitlePageOrigin"/>
        <w:rPr>
          <w:color w:val="auto"/>
        </w:rPr>
        <w:sectPr w:rsidR="009C2105" w:rsidRPr="00F02687" w:rsidSect="009C210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0CA04FF" w14:textId="586AFBAE" w:rsidR="009C2105" w:rsidRPr="00F02687" w:rsidRDefault="009C2105" w:rsidP="009C2105">
      <w:pPr>
        <w:pStyle w:val="TitleSection"/>
        <w:rPr>
          <w:color w:val="auto"/>
        </w:rPr>
      </w:pPr>
      <w:r w:rsidRPr="00F02687">
        <w:rPr>
          <w:color w:val="auto"/>
        </w:rPr>
        <w:lastRenderedPageBreak/>
        <w:t xml:space="preserve">A BILL to amend and reenact §49-4-601 of the Code of West Virginia, 1931, as amended, relating to </w:t>
      </w:r>
      <w:r w:rsidR="001B59C9">
        <w:rPr>
          <w:color w:val="auto"/>
        </w:rPr>
        <w:t xml:space="preserve">service of parties in </w:t>
      </w:r>
      <w:r w:rsidRPr="00F02687">
        <w:rPr>
          <w:color w:val="auto"/>
        </w:rPr>
        <w:t xml:space="preserve">child abuse and neglect </w:t>
      </w:r>
      <w:r w:rsidR="001B59C9">
        <w:rPr>
          <w:color w:val="auto"/>
        </w:rPr>
        <w:t>matters</w:t>
      </w:r>
      <w:r w:rsidRPr="00F02687">
        <w:rPr>
          <w:color w:val="auto"/>
        </w:rPr>
        <w:t xml:space="preserve">; requiring the sheriff to serve the </w:t>
      </w:r>
      <w:r w:rsidR="00A40BDD">
        <w:rPr>
          <w:color w:val="auto"/>
        </w:rPr>
        <w:t xml:space="preserve">abuse and neglect </w:t>
      </w:r>
      <w:r w:rsidRPr="00F02687">
        <w:rPr>
          <w:color w:val="auto"/>
        </w:rPr>
        <w:t>petition and notice of a preliminary hearing</w:t>
      </w:r>
      <w:r w:rsidR="001B59C9">
        <w:rPr>
          <w:color w:val="auto"/>
        </w:rPr>
        <w:t xml:space="preserve"> without compensation</w:t>
      </w:r>
      <w:r w:rsidRPr="00F02687">
        <w:rPr>
          <w:color w:val="auto"/>
        </w:rPr>
        <w:t>; clarifying the procedure for notices of subsequent hearings</w:t>
      </w:r>
      <w:r w:rsidR="001B59C9">
        <w:rPr>
          <w:color w:val="auto"/>
        </w:rPr>
        <w:t xml:space="preserve"> and service via publication</w:t>
      </w:r>
      <w:r w:rsidRPr="00F02687">
        <w:rPr>
          <w:color w:val="auto"/>
        </w:rPr>
        <w:t xml:space="preserve">; and exempting the sheriff from further </w:t>
      </w:r>
      <w:r w:rsidR="001B59C9">
        <w:rPr>
          <w:color w:val="auto"/>
        </w:rPr>
        <w:t>obligations to provide service, mailings</w:t>
      </w:r>
      <w:r w:rsidR="00E36599">
        <w:rPr>
          <w:color w:val="auto"/>
        </w:rPr>
        <w:t>,</w:t>
      </w:r>
      <w:r w:rsidR="001B59C9">
        <w:rPr>
          <w:color w:val="auto"/>
        </w:rPr>
        <w:t xml:space="preserve"> or publications after serving the</w:t>
      </w:r>
      <w:r w:rsidRPr="00F02687">
        <w:rPr>
          <w:color w:val="auto"/>
        </w:rPr>
        <w:t xml:space="preserve"> petition and </w:t>
      </w:r>
      <w:r w:rsidR="001B59C9">
        <w:rPr>
          <w:color w:val="auto"/>
        </w:rPr>
        <w:t xml:space="preserve">notice of </w:t>
      </w:r>
      <w:r w:rsidRPr="00F02687">
        <w:rPr>
          <w:color w:val="auto"/>
        </w:rPr>
        <w:t>preliminary hearing.</w:t>
      </w:r>
    </w:p>
    <w:p w14:paraId="612E6621" w14:textId="77777777" w:rsidR="009C2105" w:rsidRPr="00F02687" w:rsidRDefault="009C2105" w:rsidP="009C2105">
      <w:pPr>
        <w:pStyle w:val="EnactingClause"/>
        <w:rPr>
          <w:color w:val="auto"/>
        </w:rPr>
      </w:pPr>
      <w:r w:rsidRPr="00F02687">
        <w:rPr>
          <w:color w:val="auto"/>
        </w:rPr>
        <w:t>Be it enacted by the Legislature of West Virginia:</w:t>
      </w:r>
    </w:p>
    <w:p w14:paraId="4C10E25F" w14:textId="77777777" w:rsidR="009C2105" w:rsidRPr="00F02687" w:rsidRDefault="009C2105" w:rsidP="009C2105">
      <w:pPr>
        <w:pStyle w:val="ArticleHeading"/>
        <w:widowControl/>
        <w:rPr>
          <w:color w:val="auto"/>
        </w:rPr>
      </w:pPr>
      <w:bookmarkStart w:id="0" w:name="_Hlk123672302"/>
      <w:r w:rsidRPr="00F02687">
        <w:rPr>
          <w:color w:val="auto"/>
        </w:rPr>
        <w:t>ARTICLE 4.  COURT ACTIONS.</w:t>
      </w:r>
    </w:p>
    <w:p w14:paraId="3EC92869" w14:textId="77777777" w:rsidR="009C2105" w:rsidRPr="00F02687" w:rsidRDefault="009C2105" w:rsidP="009C2105">
      <w:pPr>
        <w:pStyle w:val="SectionHeading"/>
        <w:widowControl/>
        <w:rPr>
          <w:rFonts w:cs="Arial"/>
          <w:color w:val="auto"/>
        </w:rPr>
        <w:sectPr w:rsidR="009C2105" w:rsidRPr="00F02687" w:rsidSect="009C2105">
          <w:headerReference w:type="first" r:id="rId12"/>
          <w:footerReference w:type="first" r:id="rId13"/>
          <w:pgSz w:w="12240" w:h="15840" w:code="1"/>
          <w:pgMar w:top="1440" w:right="1440" w:bottom="1440" w:left="1440" w:header="720" w:footer="720" w:gutter="0"/>
          <w:lnNumType w:countBy="1" w:restart="newSection"/>
          <w:cols w:space="720"/>
          <w:titlePg/>
          <w:docGrid w:linePitch="360"/>
        </w:sectPr>
      </w:pPr>
      <w:r w:rsidRPr="00F02687">
        <w:rPr>
          <w:rFonts w:cs="Arial"/>
          <w:color w:val="auto"/>
        </w:rPr>
        <w:t>§</w:t>
      </w:r>
      <w:bookmarkEnd w:id="0"/>
      <w:r w:rsidRPr="00F02687">
        <w:rPr>
          <w:rFonts w:cs="Arial"/>
          <w:color w:val="auto"/>
        </w:rPr>
        <w:t>49-4-601. Petition to court when child believed neglected or abused; venue; notice; right to counsel; continuing legal education; findings; proceedings; procedure.</w:t>
      </w:r>
    </w:p>
    <w:p w14:paraId="46200C13" w14:textId="77777777" w:rsidR="009C2105" w:rsidRPr="00F02687" w:rsidRDefault="009C2105" w:rsidP="009C2105">
      <w:pPr>
        <w:pStyle w:val="SectionBody"/>
        <w:widowControl/>
        <w:rPr>
          <w:rFonts w:cs="Arial"/>
          <w:color w:val="auto"/>
        </w:rPr>
      </w:pPr>
      <w:r w:rsidRPr="00F02687">
        <w:rPr>
          <w:rFonts w:cs="Arial"/>
          <w:color w:val="auto"/>
        </w:rPr>
        <w:t xml:space="preserve">(a) </w:t>
      </w:r>
      <w:r w:rsidRPr="00F02687">
        <w:rPr>
          <w:rFonts w:cs="Arial"/>
          <w:i/>
          <w:iCs/>
          <w:color w:val="auto"/>
        </w:rPr>
        <w:t>Petitioner and venue. —</w:t>
      </w:r>
      <w:r w:rsidRPr="00F02687">
        <w:rPr>
          <w:rFonts w:cs="Arial"/>
          <w:color w:val="auto"/>
        </w:rPr>
        <w:t xml:space="preserve"> If the department or a reputable person believes that a child is neglected or abused, the department or the person may present a petition setting forth the facts to the circuit court in the county in which the child resides, or if the petition is being brought by the department, in the county in which the custodial respondent or other named party abuser resides, or in which the abuse or neglect occurred, or to the judge of the court in vacation. Under no circumstance may a party file a petition in more than one county based on the same set of facts.</w:t>
      </w:r>
    </w:p>
    <w:p w14:paraId="567C1D20" w14:textId="77777777" w:rsidR="009C2105" w:rsidRPr="00F02687" w:rsidRDefault="009C2105" w:rsidP="009C2105">
      <w:pPr>
        <w:pStyle w:val="SectionBody"/>
        <w:widowControl/>
        <w:rPr>
          <w:rFonts w:cs="Arial"/>
          <w:color w:val="auto"/>
        </w:rPr>
      </w:pPr>
      <w:r w:rsidRPr="00F02687">
        <w:rPr>
          <w:rFonts w:cs="Arial"/>
          <w:color w:val="auto"/>
        </w:rPr>
        <w:t xml:space="preserve">(b) </w:t>
      </w:r>
      <w:r w:rsidRPr="00F02687">
        <w:rPr>
          <w:rFonts w:cs="Arial"/>
          <w:i/>
          <w:iCs/>
          <w:color w:val="auto"/>
        </w:rPr>
        <w:t>Contents of Petition. —</w:t>
      </w:r>
      <w:r w:rsidRPr="00F02687">
        <w:rPr>
          <w:rFonts w:cs="Arial"/>
          <w:color w:val="auto"/>
        </w:rPr>
        <w:t xml:space="preserve"> The petition shall be verified by the oath of some credible person having knowledge of the facts. The petition shall allege specific conduct including time and place, how the conduct comes within the statutory definition of neglect or abuse with references to the statute, any supportive services provided by the department to remedy the alleged circumstances, and the relief sought. </w:t>
      </w:r>
      <w:r w:rsidRPr="00F02687">
        <w:rPr>
          <w:rFonts w:cs="Arial"/>
          <w:color w:val="auto"/>
          <w:shd w:val="clear" w:color="auto" w:fill="FFFFFF"/>
        </w:rPr>
        <w:t>Each petition shall name as a party each parent, guardian, custodian, other person standing in loco parentis of or to the child allegedly neglected or abused and state with specificity whether each parent, guardian, custodian, or person standing in loco parentis is alleged to have abused or neglected the child.</w:t>
      </w:r>
    </w:p>
    <w:p w14:paraId="727647DD" w14:textId="77777777" w:rsidR="009C2105" w:rsidRPr="00F02687" w:rsidRDefault="009C2105" w:rsidP="009C2105">
      <w:pPr>
        <w:pStyle w:val="SectionBody"/>
        <w:widowControl/>
        <w:rPr>
          <w:rFonts w:cs="Arial"/>
          <w:color w:val="auto"/>
        </w:rPr>
      </w:pPr>
      <w:r w:rsidRPr="00F02687">
        <w:rPr>
          <w:rFonts w:cs="Arial"/>
          <w:color w:val="auto"/>
        </w:rPr>
        <w:t xml:space="preserve">(c) </w:t>
      </w:r>
      <w:r w:rsidRPr="00F02687">
        <w:rPr>
          <w:rFonts w:cs="Arial"/>
          <w:i/>
          <w:iCs/>
          <w:color w:val="auto"/>
        </w:rPr>
        <w:t>Court action upon filing of petition. —</w:t>
      </w:r>
      <w:r w:rsidRPr="00F02687">
        <w:rPr>
          <w:rFonts w:cs="Arial"/>
          <w:iCs/>
          <w:color w:val="auto"/>
        </w:rPr>
        <w:t xml:space="preserve"> </w:t>
      </w:r>
      <w:r w:rsidRPr="00F02687">
        <w:rPr>
          <w:rFonts w:cs="Arial"/>
          <w:color w:val="auto"/>
        </w:rPr>
        <w:t xml:space="preserve">Upon filing of the petition, the court shall set a time and place for a hearing and shall appoint counsel for the child. When there is an order for </w:t>
      </w:r>
      <w:r w:rsidRPr="00F02687">
        <w:rPr>
          <w:rFonts w:cs="Arial"/>
          <w:color w:val="auto"/>
        </w:rPr>
        <w:lastRenderedPageBreak/>
        <w:t>temporary custody pursuant to this article, the preliminary hearing shall be held within 10 days of the order continuing or transferring custody, unless a continuance for a reasonable time is granted to a date certain, for good cause shown.</w:t>
      </w:r>
    </w:p>
    <w:p w14:paraId="3EAFD110" w14:textId="77777777" w:rsidR="009C2105" w:rsidRPr="00F02687" w:rsidRDefault="009C2105" w:rsidP="009C2105">
      <w:pPr>
        <w:pStyle w:val="SectionBody"/>
        <w:widowControl/>
        <w:rPr>
          <w:rFonts w:cs="Arial"/>
          <w:color w:val="auto"/>
        </w:rPr>
      </w:pPr>
      <w:r w:rsidRPr="00F02687">
        <w:rPr>
          <w:rFonts w:cs="Arial"/>
          <w:color w:val="auto"/>
        </w:rPr>
        <w:t xml:space="preserve">(d) </w:t>
      </w:r>
      <w:r w:rsidRPr="00F02687">
        <w:rPr>
          <w:rFonts w:cs="Arial"/>
          <w:i/>
          <w:iCs/>
          <w:color w:val="auto"/>
        </w:rPr>
        <w:t>Department action upon filing of the petition</w:t>
      </w:r>
      <w:r w:rsidRPr="00F02687">
        <w:rPr>
          <w:rFonts w:cs="Arial"/>
          <w:color w:val="auto"/>
        </w:rPr>
        <w:t>. — At the time of the institution of any proceeding under this article, the department shall provide supportive services in an effort to remedy circumstances detrimental to a child.</w:t>
      </w:r>
    </w:p>
    <w:p w14:paraId="79F41C50" w14:textId="67B62644" w:rsidR="009C2105" w:rsidRPr="00F02687" w:rsidRDefault="009C2105" w:rsidP="009C2105">
      <w:pPr>
        <w:pStyle w:val="SectionBody"/>
        <w:widowControl/>
        <w:rPr>
          <w:rFonts w:cs="Arial"/>
          <w:color w:val="auto"/>
        </w:rPr>
      </w:pPr>
      <w:r w:rsidRPr="00F02687">
        <w:rPr>
          <w:rFonts w:cs="Arial"/>
          <w:color w:val="auto"/>
        </w:rPr>
        <w:t xml:space="preserve">(e) </w:t>
      </w:r>
      <w:r w:rsidRPr="00F02687">
        <w:rPr>
          <w:rFonts w:cs="Arial"/>
          <w:i/>
          <w:iCs/>
          <w:color w:val="auto"/>
        </w:rPr>
        <w:t>Notice of hearing. —</w:t>
      </w:r>
    </w:p>
    <w:p w14:paraId="24EF3089" w14:textId="4CD02F62" w:rsidR="009C2105" w:rsidRPr="00F02687" w:rsidRDefault="009C2105" w:rsidP="009C2105">
      <w:pPr>
        <w:pStyle w:val="SectionBody"/>
        <w:widowControl/>
        <w:rPr>
          <w:rFonts w:cs="Arial"/>
          <w:color w:val="auto"/>
        </w:rPr>
      </w:pPr>
      <w:r w:rsidRPr="00F02687">
        <w:rPr>
          <w:rFonts w:cs="Arial"/>
          <w:color w:val="auto"/>
        </w:rPr>
        <w:t xml:space="preserve">(1) </w:t>
      </w:r>
      <w:bookmarkStart w:id="1" w:name="_Hlk123672667"/>
      <w:r w:rsidRPr="00F02687">
        <w:rPr>
          <w:rFonts w:cs="Arial"/>
          <w:color w:val="auto"/>
        </w:rPr>
        <w:t xml:space="preserve">The petition and notice of the </w:t>
      </w:r>
      <w:r w:rsidRPr="00F02687">
        <w:rPr>
          <w:rFonts w:cs="Arial"/>
          <w:color w:val="auto"/>
          <w:u w:val="single"/>
        </w:rPr>
        <w:t>preliminary</w:t>
      </w:r>
      <w:r w:rsidRPr="00F02687">
        <w:rPr>
          <w:rFonts w:cs="Arial"/>
          <w:color w:val="auto"/>
        </w:rPr>
        <w:t xml:space="preserve"> hearing shall be served </w:t>
      </w:r>
      <w:r w:rsidRPr="00F02687">
        <w:rPr>
          <w:rFonts w:cs="Arial"/>
          <w:color w:val="auto"/>
          <w:u w:val="single"/>
        </w:rPr>
        <w:t>by the sheriff's office</w:t>
      </w:r>
      <w:r w:rsidR="00A40BDD">
        <w:rPr>
          <w:rFonts w:cs="Arial"/>
          <w:color w:val="auto"/>
          <w:u w:val="single"/>
        </w:rPr>
        <w:t>,</w:t>
      </w:r>
      <w:r w:rsidRPr="00F02687">
        <w:rPr>
          <w:rFonts w:cs="Arial"/>
          <w:color w:val="auto"/>
          <w:u w:val="single"/>
        </w:rPr>
        <w:t xml:space="preserve"> </w:t>
      </w:r>
      <w:bookmarkEnd w:id="1"/>
      <w:r w:rsidR="00A40BDD">
        <w:rPr>
          <w:rFonts w:cs="Arial"/>
          <w:color w:val="auto"/>
          <w:u w:val="single"/>
        </w:rPr>
        <w:t>without compensation,</w:t>
      </w:r>
      <w:r w:rsidR="00A40BDD" w:rsidRPr="00A40BDD">
        <w:rPr>
          <w:rFonts w:cs="Arial"/>
          <w:color w:val="auto"/>
        </w:rPr>
        <w:t xml:space="preserve"> </w:t>
      </w:r>
      <w:r w:rsidRPr="00F02687">
        <w:rPr>
          <w:rFonts w:cs="Arial"/>
          <w:color w:val="auto"/>
        </w:rPr>
        <w:t xml:space="preserve">upon both parents and any other guardian, custodian, or person standing in loco parentis, giving to the persons at least five days' actual notice </w:t>
      </w:r>
      <w:r w:rsidRPr="00F02687">
        <w:rPr>
          <w:rFonts w:cs="Arial"/>
          <w:strike/>
          <w:color w:val="auto"/>
        </w:rPr>
        <w:t>of a preliminary hearing and at least 10 days' notice of any other hearing</w:t>
      </w:r>
      <w:r w:rsidRPr="00F02687">
        <w:rPr>
          <w:rFonts w:cs="Arial"/>
          <w:color w:val="auto"/>
        </w:rPr>
        <w:t xml:space="preserve">. </w:t>
      </w:r>
      <w:r w:rsidRPr="00F02687">
        <w:rPr>
          <w:rFonts w:cs="Arial"/>
          <w:color w:val="auto"/>
          <w:u w:val="single"/>
        </w:rPr>
        <w:t xml:space="preserve">Notice of any other hearing shall give the persons at least 10 days' notice or </w:t>
      </w:r>
      <w:r w:rsidR="00372DCB">
        <w:rPr>
          <w:rFonts w:cs="Arial"/>
          <w:color w:val="auto"/>
          <w:u w:val="single"/>
        </w:rPr>
        <w:t>the</w:t>
      </w:r>
      <w:r w:rsidRPr="00F02687">
        <w:rPr>
          <w:rFonts w:cs="Arial"/>
          <w:color w:val="auto"/>
          <w:u w:val="single"/>
        </w:rPr>
        <w:t xml:space="preserve"> notice as otherwise required by rules promulgated by the Supreme Court of Appeals.</w:t>
      </w:r>
    </w:p>
    <w:p w14:paraId="0725BAD6" w14:textId="77777777" w:rsidR="009C2105" w:rsidRPr="00F02687" w:rsidRDefault="009C2105" w:rsidP="009C2105">
      <w:pPr>
        <w:pStyle w:val="SectionBody"/>
        <w:widowControl/>
        <w:rPr>
          <w:rFonts w:cs="Arial"/>
          <w:color w:val="auto"/>
        </w:rPr>
      </w:pPr>
      <w:r w:rsidRPr="00F02687">
        <w:rPr>
          <w:rFonts w:cs="Arial"/>
          <w:color w:val="auto"/>
        </w:rPr>
        <w:t>(2) Notice shall be given to the department, any foster or pre-adoptive parent, and any relative providing care for the child.</w:t>
      </w:r>
    </w:p>
    <w:p w14:paraId="4D7D46A9" w14:textId="6C7351E5" w:rsidR="009C2105" w:rsidRPr="00F02687" w:rsidRDefault="009C2105" w:rsidP="009C2105">
      <w:pPr>
        <w:pStyle w:val="SectionBody"/>
        <w:widowControl/>
        <w:rPr>
          <w:rFonts w:cs="Arial"/>
          <w:color w:val="auto"/>
        </w:rPr>
      </w:pPr>
      <w:r w:rsidRPr="00F02687">
        <w:rPr>
          <w:rFonts w:cs="Arial"/>
          <w:color w:val="auto"/>
        </w:rPr>
        <w:t xml:space="preserve">(3) In cases where personal service within West Virginia cannot be obtained </w:t>
      </w:r>
      <w:r w:rsidRPr="00F02687">
        <w:rPr>
          <w:rFonts w:cs="Arial"/>
          <w:color w:val="auto"/>
          <w:u w:val="single"/>
        </w:rPr>
        <w:t>by the sheriff's office</w:t>
      </w:r>
      <w:r w:rsidRPr="00F02687">
        <w:rPr>
          <w:rFonts w:cs="Arial"/>
          <w:color w:val="auto"/>
        </w:rPr>
        <w:t xml:space="preserve"> after due diligence upon any parent or other custodian, a copy of the petition and notice of the </w:t>
      </w:r>
      <w:r w:rsidRPr="00F02687">
        <w:rPr>
          <w:rFonts w:cs="Arial"/>
          <w:color w:val="auto"/>
          <w:u w:val="single"/>
        </w:rPr>
        <w:t>preliminary</w:t>
      </w:r>
      <w:r w:rsidRPr="00F02687">
        <w:rPr>
          <w:rFonts w:cs="Arial"/>
          <w:color w:val="auto"/>
        </w:rPr>
        <w:t xml:space="preserve"> hearing shall be mailed to the person by certified mail, addressee only, return receipt requested, to the last known address of the person </w:t>
      </w:r>
      <w:r w:rsidRPr="00F02687">
        <w:rPr>
          <w:rFonts w:cs="Arial"/>
          <w:color w:val="auto"/>
          <w:u w:val="single"/>
        </w:rPr>
        <w:t xml:space="preserve">as directed by the court:  </w:t>
      </w:r>
      <w:r w:rsidRPr="00F02687">
        <w:rPr>
          <w:rFonts w:cs="Arial"/>
          <w:i/>
          <w:iCs/>
          <w:color w:val="auto"/>
          <w:u w:val="single"/>
        </w:rPr>
        <w:t>Provided</w:t>
      </w:r>
      <w:r w:rsidRPr="00F02687">
        <w:rPr>
          <w:rFonts w:cs="Arial"/>
          <w:color w:val="auto"/>
          <w:u w:val="single"/>
        </w:rPr>
        <w:t xml:space="preserve">, That the sheriff's office </w:t>
      </w:r>
      <w:r w:rsidR="00372DCB">
        <w:rPr>
          <w:rFonts w:cs="Arial"/>
          <w:color w:val="auto"/>
          <w:u w:val="single"/>
        </w:rPr>
        <w:t>is not</w:t>
      </w:r>
      <w:r w:rsidRPr="00F02687">
        <w:rPr>
          <w:rFonts w:cs="Arial"/>
          <w:color w:val="auto"/>
          <w:u w:val="single"/>
        </w:rPr>
        <w:t xml:space="preserve"> responsible for the certified mailing</w:t>
      </w:r>
      <w:r w:rsidRPr="00F02687">
        <w:rPr>
          <w:rFonts w:cs="Arial"/>
          <w:color w:val="auto"/>
        </w:rPr>
        <w:t>. If the person signs the certificate, service is complete and the certificate shall be filed as proof of the service with the clerk of the circuit court.</w:t>
      </w:r>
    </w:p>
    <w:p w14:paraId="5A0C8D98" w14:textId="76359E82" w:rsidR="009C2105" w:rsidRPr="00F02687" w:rsidRDefault="009C2105" w:rsidP="009C2105">
      <w:pPr>
        <w:pStyle w:val="SectionBody"/>
        <w:widowControl/>
        <w:rPr>
          <w:rFonts w:cs="Arial"/>
          <w:color w:val="auto"/>
        </w:rPr>
      </w:pPr>
      <w:r w:rsidRPr="00F02687">
        <w:rPr>
          <w:rFonts w:cs="Arial"/>
          <w:color w:val="auto"/>
        </w:rPr>
        <w:t xml:space="preserve">(4) If service </w:t>
      </w:r>
      <w:r w:rsidRPr="00F02687">
        <w:rPr>
          <w:rFonts w:cs="Arial"/>
          <w:color w:val="auto"/>
          <w:u w:val="single"/>
        </w:rPr>
        <w:t>of the petition and notice of the preliminary hearing</w:t>
      </w:r>
      <w:r w:rsidRPr="00F02687">
        <w:rPr>
          <w:rFonts w:cs="Arial"/>
          <w:color w:val="auto"/>
        </w:rPr>
        <w:t xml:space="preserve"> cannot be obtained by personal service or by certified mail, notice shall be by publication as a Class II legal advertisement in compliance with §59-3-1</w:t>
      </w:r>
      <w:r w:rsidRPr="00F02687">
        <w:rPr>
          <w:rFonts w:cs="Arial"/>
          <w:i/>
          <w:color w:val="auto"/>
        </w:rPr>
        <w:t xml:space="preserve"> et seq. </w:t>
      </w:r>
      <w:r w:rsidRPr="00F02687">
        <w:rPr>
          <w:rFonts w:cs="Arial"/>
          <w:color w:val="auto"/>
        </w:rPr>
        <w:t xml:space="preserve">of this code:  </w:t>
      </w:r>
      <w:r w:rsidRPr="00F02687">
        <w:rPr>
          <w:rFonts w:cs="Arial"/>
          <w:i/>
          <w:iCs/>
          <w:color w:val="auto"/>
          <w:u w:val="single"/>
        </w:rPr>
        <w:t>Provided</w:t>
      </w:r>
      <w:r w:rsidRPr="00F02687">
        <w:rPr>
          <w:rFonts w:cs="Arial"/>
          <w:color w:val="auto"/>
          <w:u w:val="single"/>
        </w:rPr>
        <w:t xml:space="preserve">, That the sheriff's office </w:t>
      </w:r>
      <w:r w:rsidR="00372DCB">
        <w:rPr>
          <w:rFonts w:cs="Arial"/>
          <w:color w:val="auto"/>
          <w:u w:val="single"/>
        </w:rPr>
        <w:t>is not</w:t>
      </w:r>
      <w:r w:rsidRPr="00F02687">
        <w:rPr>
          <w:rFonts w:cs="Arial"/>
          <w:color w:val="auto"/>
          <w:u w:val="single"/>
        </w:rPr>
        <w:t xml:space="preserve"> responsible for the publication of the Class II legal advertisement.</w:t>
      </w:r>
    </w:p>
    <w:p w14:paraId="2EA0F602" w14:textId="77777777" w:rsidR="009C2105" w:rsidRPr="00F02687" w:rsidRDefault="009C2105" w:rsidP="009C2105">
      <w:pPr>
        <w:pStyle w:val="SectionBody"/>
        <w:widowControl/>
        <w:rPr>
          <w:rFonts w:cs="Arial"/>
          <w:color w:val="auto"/>
        </w:rPr>
      </w:pPr>
      <w:r w:rsidRPr="00F02687">
        <w:rPr>
          <w:rFonts w:cs="Arial"/>
          <w:color w:val="auto"/>
        </w:rPr>
        <w:lastRenderedPageBreak/>
        <w:t>(5) A notice of hearing shall specify the time and place of the hearings, the right to counsel of the child, parents, and other guardians, custodians, and other persons standing in loco parentis with the child and the fact that the proceedings can result in the permanent termination of the parental rights.</w:t>
      </w:r>
    </w:p>
    <w:p w14:paraId="700A72E1" w14:textId="77777777" w:rsidR="009C2105" w:rsidRPr="00F02687" w:rsidRDefault="009C2105" w:rsidP="009C2105">
      <w:pPr>
        <w:pStyle w:val="SectionBody"/>
        <w:widowControl/>
        <w:rPr>
          <w:rFonts w:cs="Arial"/>
          <w:color w:val="auto"/>
        </w:rPr>
      </w:pPr>
      <w:r w:rsidRPr="00F02687">
        <w:rPr>
          <w:rFonts w:cs="Arial"/>
          <w:color w:val="auto"/>
        </w:rPr>
        <w:t>(6) Failure to object to defects in the petition and notice may not be construed as a waiver.</w:t>
      </w:r>
    </w:p>
    <w:p w14:paraId="5BE61EDE" w14:textId="77777777" w:rsidR="009C2105" w:rsidRPr="00F02687" w:rsidRDefault="009C2105" w:rsidP="009C2105">
      <w:pPr>
        <w:pStyle w:val="SectionBody"/>
        <w:widowControl/>
        <w:rPr>
          <w:rFonts w:cs="Arial"/>
          <w:color w:val="auto"/>
        </w:rPr>
      </w:pPr>
      <w:r w:rsidRPr="00F02687">
        <w:rPr>
          <w:rFonts w:cs="Arial"/>
          <w:color w:val="auto"/>
        </w:rPr>
        <w:t xml:space="preserve">(f) </w:t>
      </w:r>
      <w:r w:rsidRPr="00F02687">
        <w:rPr>
          <w:rFonts w:cs="Arial"/>
          <w:i/>
          <w:iCs/>
          <w:color w:val="auto"/>
        </w:rPr>
        <w:t>Right to counsel.</w:t>
      </w:r>
      <w:r w:rsidRPr="00F02687">
        <w:rPr>
          <w:rFonts w:cs="Arial"/>
          <w:color w:val="auto"/>
        </w:rPr>
        <w:t xml:space="preserve"> —</w:t>
      </w:r>
    </w:p>
    <w:p w14:paraId="263B11AD" w14:textId="77777777" w:rsidR="009C2105" w:rsidRPr="00F02687" w:rsidRDefault="009C2105" w:rsidP="009C2105">
      <w:pPr>
        <w:pStyle w:val="SectionBody"/>
        <w:widowControl/>
        <w:rPr>
          <w:rFonts w:cs="Arial"/>
          <w:color w:val="auto"/>
        </w:rPr>
      </w:pPr>
      <w:r w:rsidRPr="00F02687">
        <w:rPr>
          <w:rFonts w:cs="Arial"/>
          <w:color w:val="auto"/>
        </w:rPr>
        <w:t>(1) In any proceeding under this article, the child shall have counsel to represent his or her interests at all stages of the proceedings.</w:t>
      </w:r>
    </w:p>
    <w:p w14:paraId="4321EA52" w14:textId="77777777" w:rsidR="009C2105" w:rsidRPr="00F02687" w:rsidRDefault="009C2105" w:rsidP="009C2105">
      <w:pPr>
        <w:pStyle w:val="SectionBody"/>
        <w:widowControl/>
        <w:rPr>
          <w:rFonts w:cs="Arial"/>
          <w:color w:val="auto"/>
        </w:rPr>
      </w:pPr>
      <w:r w:rsidRPr="00F02687">
        <w:rPr>
          <w:rFonts w:cs="Arial"/>
          <w:color w:val="auto"/>
        </w:rPr>
        <w:t>(2) The court's initial order shall appoint counsel for the child and for any parent, guardian, custodian, or other person standing in loco parentis</w:t>
      </w:r>
      <w:r w:rsidRPr="00F02687">
        <w:rPr>
          <w:rFonts w:cs="Arial"/>
          <w:i/>
          <w:iCs/>
          <w:color w:val="auto"/>
        </w:rPr>
        <w:t xml:space="preserve"> </w:t>
      </w:r>
      <w:r w:rsidRPr="00F02687">
        <w:rPr>
          <w:rFonts w:cs="Arial"/>
          <w:color w:val="auto"/>
        </w:rPr>
        <w:t xml:space="preserve">with the child if such person is without retained counsel. </w:t>
      </w:r>
    </w:p>
    <w:p w14:paraId="072728C7" w14:textId="77777777" w:rsidR="009C2105" w:rsidRPr="00F02687" w:rsidRDefault="009C2105" w:rsidP="009C2105">
      <w:pPr>
        <w:pStyle w:val="SectionBody"/>
        <w:widowControl/>
        <w:rPr>
          <w:rFonts w:cs="Arial"/>
          <w:color w:val="auto"/>
        </w:rPr>
      </w:pPr>
      <w:r w:rsidRPr="00F02687">
        <w:rPr>
          <w:rFonts w:cs="Arial"/>
          <w:color w:val="auto"/>
        </w:rPr>
        <w:t xml:space="preserve">(3) The court shall, at the initial hearing in the matter, determine whether persons other than the child for whom counsel has been appointed: </w:t>
      </w:r>
    </w:p>
    <w:p w14:paraId="04541DBB" w14:textId="77777777" w:rsidR="009C2105" w:rsidRPr="00F02687" w:rsidRDefault="009C2105" w:rsidP="009C2105">
      <w:pPr>
        <w:pStyle w:val="SectionBody"/>
        <w:widowControl/>
        <w:rPr>
          <w:rFonts w:cs="Arial"/>
          <w:color w:val="auto"/>
        </w:rPr>
      </w:pPr>
      <w:r w:rsidRPr="00F02687">
        <w:rPr>
          <w:rFonts w:cs="Arial"/>
          <w:color w:val="auto"/>
        </w:rPr>
        <w:t>(A) Have retained counsel; and</w:t>
      </w:r>
    </w:p>
    <w:p w14:paraId="2A0554B2" w14:textId="77777777" w:rsidR="009C2105" w:rsidRPr="00F02687" w:rsidRDefault="009C2105" w:rsidP="009C2105">
      <w:pPr>
        <w:pStyle w:val="SectionBody"/>
        <w:widowControl/>
        <w:rPr>
          <w:rFonts w:cs="Arial"/>
          <w:color w:val="auto"/>
        </w:rPr>
      </w:pPr>
      <w:r w:rsidRPr="00F02687">
        <w:rPr>
          <w:rFonts w:cs="Arial"/>
          <w:color w:val="auto"/>
        </w:rPr>
        <w:t>(B) Are financially able to retain counsel.</w:t>
      </w:r>
    </w:p>
    <w:p w14:paraId="298EE843" w14:textId="77777777" w:rsidR="009C2105" w:rsidRPr="00F02687" w:rsidRDefault="009C2105" w:rsidP="009C2105">
      <w:pPr>
        <w:pStyle w:val="SectionBody"/>
        <w:widowControl/>
        <w:rPr>
          <w:rFonts w:cs="Arial"/>
          <w:color w:val="auto"/>
        </w:rPr>
      </w:pPr>
      <w:r w:rsidRPr="00F02687">
        <w:rPr>
          <w:rFonts w:cs="Arial"/>
          <w:color w:val="auto"/>
        </w:rPr>
        <w:t xml:space="preserve">(4) A parent, guardian, custodian, or other person standing in loco parentis with the child who is alleged to have neglected or abused the child and who has not retained counsel and is financially unable to retain counsel beyond the initial hearing, shall be afforded appointed counsel at every stage of the proceedings. </w:t>
      </w:r>
    </w:p>
    <w:p w14:paraId="6A7123A3" w14:textId="77777777" w:rsidR="009C2105" w:rsidRPr="00F02687" w:rsidRDefault="009C2105" w:rsidP="009C2105">
      <w:pPr>
        <w:pStyle w:val="SectionBody"/>
        <w:widowControl/>
        <w:rPr>
          <w:rFonts w:cs="Arial"/>
          <w:color w:val="auto"/>
        </w:rPr>
      </w:pPr>
      <w:r w:rsidRPr="00F02687">
        <w:rPr>
          <w:rFonts w:cs="Arial"/>
          <w:color w:val="auto"/>
        </w:rPr>
        <w:t xml:space="preserve">(5) Under no circumstances may the same attorney represent both the child and another party. The same attorney may not represent more than one parent or custodian: </w:t>
      </w:r>
      <w:r w:rsidRPr="00F02687">
        <w:rPr>
          <w:rFonts w:cs="Arial"/>
          <w:i/>
          <w:iCs/>
          <w:color w:val="auto"/>
        </w:rPr>
        <w:t>Provided</w:t>
      </w:r>
      <w:r w:rsidRPr="00F02687">
        <w:rPr>
          <w:rFonts w:cs="Arial"/>
          <w:color w:val="auto"/>
        </w:rPr>
        <w:t>, That  one attorney may represent both parents or custodians where both parents or custodians consent to this representation after the attorney fully discloses to the client the possible conflict and where the attorney advises the court that she or he is able to represent each client without impairing her or his professional judgment. If more than one child from a family is involved in the proceeding, one attorney may represent all the children.</w:t>
      </w:r>
    </w:p>
    <w:p w14:paraId="11710121" w14:textId="77777777" w:rsidR="009C2105" w:rsidRPr="00F02687" w:rsidRDefault="009C2105" w:rsidP="009C2105">
      <w:pPr>
        <w:pStyle w:val="SectionBody"/>
        <w:widowControl/>
        <w:rPr>
          <w:rFonts w:cs="Arial"/>
          <w:color w:val="auto"/>
        </w:rPr>
      </w:pPr>
      <w:r w:rsidRPr="00F02687">
        <w:rPr>
          <w:rFonts w:cs="Arial"/>
          <w:color w:val="auto"/>
        </w:rPr>
        <w:lastRenderedPageBreak/>
        <w:t xml:space="preserve">(6) A parent who is a co-petitioner is entitled to his or her own attorney. </w:t>
      </w:r>
    </w:p>
    <w:p w14:paraId="37450B75" w14:textId="77777777" w:rsidR="009C2105" w:rsidRPr="00F02687" w:rsidRDefault="009C2105" w:rsidP="009C2105">
      <w:pPr>
        <w:pStyle w:val="SectionBody"/>
        <w:widowControl/>
        <w:rPr>
          <w:rFonts w:cs="Arial"/>
          <w:color w:val="auto"/>
        </w:rPr>
      </w:pPr>
      <w:r w:rsidRPr="00F02687">
        <w:rPr>
          <w:rFonts w:cs="Arial"/>
          <w:color w:val="auto"/>
        </w:rPr>
        <w:t>(7) The court may allow to each attorney appointed pursuant to this section a fee in the same amount which appointed counsel can receive in felony cases.</w:t>
      </w:r>
    </w:p>
    <w:p w14:paraId="6ED55161" w14:textId="77777777" w:rsidR="009C2105" w:rsidRPr="00F02687" w:rsidRDefault="009C2105" w:rsidP="009C2105">
      <w:pPr>
        <w:pStyle w:val="SectionBody"/>
        <w:widowControl/>
        <w:rPr>
          <w:rFonts w:cs="Arial"/>
          <w:color w:val="auto"/>
        </w:rPr>
      </w:pPr>
      <w:r w:rsidRPr="00F02687">
        <w:rPr>
          <w:rFonts w:cs="Arial"/>
          <w:color w:val="auto"/>
        </w:rPr>
        <w:t>(8) The court shall, sua sponte or upon motion, appoint counsel to any unrepresented party if, at any stage of the proceedings, the court determines doing so is necessary to satisfy the requirements of fundamental fairness.</w:t>
      </w:r>
    </w:p>
    <w:p w14:paraId="089FFA31" w14:textId="77777777" w:rsidR="009C2105" w:rsidRPr="00F02687" w:rsidRDefault="009C2105" w:rsidP="009C2105">
      <w:pPr>
        <w:pStyle w:val="SectionBody"/>
        <w:widowControl/>
        <w:rPr>
          <w:rFonts w:cs="Arial"/>
          <w:color w:val="auto"/>
        </w:rPr>
      </w:pPr>
      <w:r w:rsidRPr="00F02687">
        <w:rPr>
          <w:rFonts w:cs="Arial"/>
          <w:color w:val="auto"/>
        </w:rPr>
        <w:t xml:space="preserve">(g) </w:t>
      </w:r>
      <w:r w:rsidRPr="00F02687">
        <w:rPr>
          <w:rFonts w:cs="Arial"/>
          <w:i/>
          <w:iCs/>
          <w:color w:val="auto"/>
        </w:rPr>
        <w:t>Continuing education for counsel.</w:t>
      </w:r>
      <w:r w:rsidRPr="00F02687">
        <w:rPr>
          <w:rFonts w:cs="Arial"/>
          <w:color w:val="auto"/>
        </w:rPr>
        <w:t xml:space="preserve"> — Any attorney representing a party under this article shall receive a minimum of eight hours of continuing legal education training per reporting period on child abuse and neglect procedure and practice. In addition to this requirement, any attorney appointed to represent a child must first complete training on representation of children that is approved by the administrative office of the Supreme Court of Appeals. The Supreme Court of Appeals shall develop procedures for approval and certification of training required under this section. Where no attorney has completed the training required by this subsection, the court shall appoint a competent attorney with demonstrated knowledge of child welfare law to represent the parent or child. Any attorney appointed pursuant to this section shall perform all duties required of an attorney licensed to practice law in the State of West Virginia.</w:t>
      </w:r>
    </w:p>
    <w:p w14:paraId="7C4DD854" w14:textId="77777777" w:rsidR="009C2105" w:rsidRPr="00F02687" w:rsidRDefault="009C2105" w:rsidP="009C2105">
      <w:pPr>
        <w:pStyle w:val="SectionBody"/>
        <w:widowControl/>
        <w:rPr>
          <w:rFonts w:cs="Arial"/>
          <w:color w:val="auto"/>
        </w:rPr>
      </w:pPr>
      <w:r w:rsidRPr="00F02687">
        <w:rPr>
          <w:rFonts w:cs="Arial"/>
          <w:color w:val="auto"/>
        </w:rPr>
        <w:t xml:space="preserve">(h) </w:t>
      </w:r>
      <w:r w:rsidRPr="00F02687">
        <w:rPr>
          <w:rFonts w:cs="Arial"/>
          <w:i/>
          <w:iCs/>
          <w:color w:val="auto"/>
        </w:rPr>
        <w:t>Right to be heard</w:t>
      </w:r>
      <w:r w:rsidRPr="00F02687">
        <w:rPr>
          <w:rFonts w:cs="Arial"/>
          <w:color w:val="auto"/>
        </w:rPr>
        <w:t>. — In any proceeding pursuant to this article, the party or parties having custodial or other parental rights or responsibilities to the child shall be afforded a meaningful opportunity to be heard, including the opportunity to testify and to present and cross-examine witnesses. Foster parents, pre-adoptive parents, and relative caregivers shall also have a meaningful opportunity to be heard.</w:t>
      </w:r>
    </w:p>
    <w:p w14:paraId="51710700" w14:textId="77777777" w:rsidR="009C2105" w:rsidRPr="00F02687" w:rsidRDefault="009C2105" w:rsidP="009C2105">
      <w:pPr>
        <w:pStyle w:val="SectionBody"/>
        <w:widowControl/>
        <w:rPr>
          <w:rFonts w:cs="Arial"/>
          <w:color w:val="auto"/>
        </w:rPr>
      </w:pPr>
      <w:r w:rsidRPr="00F02687">
        <w:rPr>
          <w:rFonts w:cs="Arial"/>
          <w:color w:val="auto"/>
        </w:rPr>
        <w:t xml:space="preserve">(i) </w:t>
      </w:r>
      <w:r w:rsidRPr="00F02687">
        <w:rPr>
          <w:rFonts w:cs="Arial"/>
          <w:i/>
          <w:iCs/>
          <w:color w:val="auto"/>
        </w:rPr>
        <w:t>Findings of the court</w:t>
      </w:r>
      <w:r w:rsidRPr="00F02687">
        <w:rPr>
          <w:rFonts w:cs="Arial"/>
          <w:color w:val="auto"/>
        </w:rPr>
        <w:t xml:space="preserve">. — Where relevant, the court shall consider the efforts of the department to remedy the alleged circumstances. At the conclusion of the adjudicatory hearing, the court shall make a determination based upon the evidence and shall make findings of fact and conclusions of law as to whether the child is abused or neglected and whether the respondent is abusing, neglecting, or, if applicable, a battered parent, all of which shall be incorporated into </w:t>
      </w:r>
      <w:r w:rsidRPr="00F02687">
        <w:rPr>
          <w:rFonts w:cs="Arial"/>
          <w:color w:val="auto"/>
        </w:rPr>
        <w:lastRenderedPageBreak/>
        <w:t>the order of the court. The findings must be based upon conditions existing at the time of the filing of the petition and proven by clear and convincing evidence.</w:t>
      </w:r>
    </w:p>
    <w:p w14:paraId="782667D5" w14:textId="77777777" w:rsidR="009C2105" w:rsidRPr="00F02687" w:rsidRDefault="009C2105" w:rsidP="009C2105">
      <w:pPr>
        <w:pStyle w:val="SectionBody"/>
        <w:widowControl/>
        <w:rPr>
          <w:rFonts w:cs="Arial"/>
          <w:color w:val="auto"/>
        </w:rPr>
      </w:pPr>
      <w:r w:rsidRPr="00F02687">
        <w:rPr>
          <w:rFonts w:cs="Arial"/>
          <w:color w:val="auto"/>
        </w:rPr>
        <w:t xml:space="preserve">(j) </w:t>
      </w:r>
      <w:r w:rsidRPr="00F02687">
        <w:rPr>
          <w:rFonts w:cs="Arial"/>
          <w:i/>
          <w:iCs/>
          <w:color w:val="auto"/>
        </w:rPr>
        <w:t>Priority of proceedings.</w:t>
      </w:r>
      <w:r w:rsidRPr="00F02687">
        <w:rPr>
          <w:rFonts w:cs="Arial"/>
          <w:color w:val="auto"/>
        </w:rPr>
        <w:t xml:space="preserve"> — Any petition filed and any proceeding held under this article shall, to the extent practicable, be given priority over any other civil action before the court, except proceedings under §48-27-309 of this code and actions in which trial is in progress. Any petition filed under this article shall be docketed immediately upon filing. Any hearing to be held at the end of an improvement period and any other hearing to be held during any proceedings under this article shall be held as nearly as practicable on successive days and, with respect to the hearing to be held at the end of an improvement period, shall be held as close in time as possible after the end of the improvement period and shall be held within 30 days of the termination of the improvement period.</w:t>
      </w:r>
    </w:p>
    <w:p w14:paraId="746A589A" w14:textId="77777777" w:rsidR="009C2105" w:rsidRPr="00F02687" w:rsidRDefault="009C2105" w:rsidP="009C2105">
      <w:pPr>
        <w:pStyle w:val="SectionBody"/>
        <w:widowControl/>
        <w:rPr>
          <w:color w:val="auto"/>
        </w:rPr>
      </w:pPr>
      <w:r w:rsidRPr="00F02687">
        <w:rPr>
          <w:rFonts w:cs="Arial"/>
          <w:color w:val="auto"/>
        </w:rPr>
        <w:t xml:space="preserve">(k) </w:t>
      </w:r>
      <w:r w:rsidRPr="00F02687">
        <w:rPr>
          <w:rFonts w:cs="Arial"/>
          <w:i/>
          <w:iCs/>
          <w:color w:val="auto"/>
        </w:rPr>
        <w:t>Procedural safeguards</w:t>
      </w:r>
      <w:r w:rsidRPr="00F02687">
        <w:rPr>
          <w:rFonts w:cs="Arial"/>
          <w:color w:val="auto"/>
        </w:rPr>
        <w:t xml:space="preserve">. — The petition may not be taken as confessed. A transcript or recording shall be made of all proceedings unless waived by all parties to the proceeding. The rules of evidence shall apply. Following the court's determination, it shall ask the parents or custodians whether or not </w:t>
      </w:r>
      <w:r w:rsidRPr="00F02687">
        <w:rPr>
          <w:rFonts w:cs="Arial"/>
          <w:color w:val="auto"/>
          <w:u w:val="single"/>
        </w:rPr>
        <w:t>an</w:t>
      </w:r>
      <w:r w:rsidRPr="00F02687">
        <w:rPr>
          <w:rFonts w:cs="Arial"/>
          <w:color w:val="auto"/>
        </w:rPr>
        <w:t xml:space="preserve"> appeal is desired and the response transcribed. A negative response may not be construed as a waiver. The evidence shall be transcribed and made available to the parties or their counsel as soon as practicable, if the transcript is required for purposes of further proceedings. If an indigent person intends to pursue further proceedings, the court reporter shall furnish a transcript of the hearing without cost to the indigent person if an affidavit is filed stating that he or she cannot pay the transcript.</w:t>
      </w:r>
    </w:p>
    <w:sectPr w:rsidR="009C2105" w:rsidRPr="00F02687" w:rsidSect="009C210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F961E" w14:textId="77777777" w:rsidR="00E80768" w:rsidRPr="00B844FE" w:rsidRDefault="00E80768" w:rsidP="00B844FE">
      <w:r>
        <w:separator/>
      </w:r>
    </w:p>
  </w:endnote>
  <w:endnote w:type="continuationSeparator" w:id="0">
    <w:p w14:paraId="12CB394C" w14:textId="77777777" w:rsidR="00E80768" w:rsidRPr="00B844FE" w:rsidRDefault="00E807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0998" w14:textId="77777777" w:rsidR="009C2105" w:rsidRDefault="009C2105" w:rsidP="001B67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4AC936" w14:textId="77777777" w:rsidR="009C2105" w:rsidRPr="009C2105" w:rsidRDefault="009C2105" w:rsidP="009C2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801BF" w14:textId="77777777" w:rsidR="009C2105" w:rsidRDefault="009C2105" w:rsidP="001B67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4F7D3D3" w14:textId="77777777" w:rsidR="009C2105" w:rsidRPr="009C2105" w:rsidRDefault="009C2105" w:rsidP="009C21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158E" w14:textId="3602297C" w:rsidR="009C2105" w:rsidRPr="009C2105" w:rsidRDefault="00DF1DD9" w:rsidP="009C2105">
    <w:pPr>
      <w:pStyle w:val="Footer"/>
    </w:pP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CB6A7" w14:textId="77777777" w:rsidR="00E80768" w:rsidRPr="00B844FE" w:rsidRDefault="00E80768" w:rsidP="00B844FE">
      <w:r>
        <w:separator/>
      </w:r>
    </w:p>
  </w:footnote>
  <w:footnote w:type="continuationSeparator" w:id="0">
    <w:p w14:paraId="747571BB" w14:textId="77777777" w:rsidR="00E80768" w:rsidRPr="00B844FE" w:rsidRDefault="00E807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0EF1D" w14:textId="77777777" w:rsidR="009C2105" w:rsidRPr="009C2105" w:rsidRDefault="009C2105" w:rsidP="009C2105">
    <w:pPr>
      <w:pStyle w:val="Header"/>
    </w:pPr>
    <w:r>
      <w:t>CS for SB 621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C7ABE" w14:textId="77777777" w:rsidR="009C2105" w:rsidRPr="009C2105" w:rsidRDefault="009C2105" w:rsidP="009C2105">
    <w:pPr>
      <w:pStyle w:val="Header"/>
    </w:pPr>
    <w:r>
      <w:t>CS for SB 621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1BDB5" w14:textId="77777777" w:rsidR="009C2105" w:rsidRPr="009C2105" w:rsidRDefault="009C2105" w:rsidP="009C2105">
    <w:pPr>
      <w:pStyle w:val="Header"/>
    </w:pPr>
    <w:r>
      <w:t>CS for SB 621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23324296">
    <w:abstractNumId w:val="0"/>
  </w:num>
  <w:num w:numId="2" w16cid:durableId="2060861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68"/>
    <w:rsid w:val="00002112"/>
    <w:rsid w:val="0000526A"/>
    <w:rsid w:val="00035800"/>
    <w:rsid w:val="00085D22"/>
    <w:rsid w:val="000A2973"/>
    <w:rsid w:val="000C5C77"/>
    <w:rsid w:val="0010070F"/>
    <w:rsid w:val="0015112E"/>
    <w:rsid w:val="001521B8"/>
    <w:rsid w:val="001552E7"/>
    <w:rsid w:val="001566B4"/>
    <w:rsid w:val="00175B38"/>
    <w:rsid w:val="001B59C9"/>
    <w:rsid w:val="001C279E"/>
    <w:rsid w:val="001D093F"/>
    <w:rsid w:val="001D459E"/>
    <w:rsid w:val="00230763"/>
    <w:rsid w:val="0027011C"/>
    <w:rsid w:val="00274200"/>
    <w:rsid w:val="00275740"/>
    <w:rsid w:val="002A0269"/>
    <w:rsid w:val="00301F44"/>
    <w:rsid w:val="00303684"/>
    <w:rsid w:val="003143F5"/>
    <w:rsid w:val="00314854"/>
    <w:rsid w:val="00365920"/>
    <w:rsid w:val="00372DCB"/>
    <w:rsid w:val="003C51CD"/>
    <w:rsid w:val="00410475"/>
    <w:rsid w:val="004247A2"/>
    <w:rsid w:val="004B2795"/>
    <w:rsid w:val="004C13DD"/>
    <w:rsid w:val="004E3441"/>
    <w:rsid w:val="00571DC3"/>
    <w:rsid w:val="005A5366"/>
    <w:rsid w:val="00637E73"/>
    <w:rsid w:val="006565E8"/>
    <w:rsid w:val="006865E9"/>
    <w:rsid w:val="00691F3E"/>
    <w:rsid w:val="00694BFB"/>
    <w:rsid w:val="006A106B"/>
    <w:rsid w:val="006C523D"/>
    <w:rsid w:val="006D4036"/>
    <w:rsid w:val="007E02CF"/>
    <w:rsid w:val="007F1CF5"/>
    <w:rsid w:val="007F7117"/>
    <w:rsid w:val="0081249D"/>
    <w:rsid w:val="00834EDE"/>
    <w:rsid w:val="008736AA"/>
    <w:rsid w:val="008D275D"/>
    <w:rsid w:val="00952402"/>
    <w:rsid w:val="009739E7"/>
    <w:rsid w:val="00980327"/>
    <w:rsid w:val="009C2105"/>
    <w:rsid w:val="009F1067"/>
    <w:rsid w:val="00A31E01"/>
    <w:rsid w:val="00A35B03"/>
    <w:rsid w:val="00A40BDD"/>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E526B"/>
    <w:rsid w:val="00DF199D"/>
    <w:rsid w:val="00DF1DD9"/>
    <w:rsid w:val="00DF4120"/>
    <w:rsid w:val="00E01542"/>
    <w:rsid w:val="00E36599"/>
    <w:rsid w:val="00E365F1"/>
    <w:rsid w:val="00E62F48"/>
    <w:rsid w:val="00E80768"/>
    <w:rsid w:val="00E831B3"/>
    <w:rsid w:val="00EB203E"/>
    <w:rsid w:val="00EE70CB"/>
    <w:rsid w:val="00EF6030"/>
    <w:rsid w:val="00F23775"/>
    <w:rsid w:val="00F41CA2"/>
    <w:rsid w:val="00F443C0"/>
    <w:rsid w:val="00F50749"/>
    <w:rsid w:val="00F6164F"/>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943AD"/>
  <w15:chartTrackingRefBased/>
  <w15:docId w15:val="{12FE7B22-99F3-4D5D-8434-88604F30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9C2105"/>
    <w:rPr>
      <w:rFonts w:eastAsia="Calibri"/>
      <w:color w:val="000000"/>
    </w:rPr>
  </w:style>
  <w:style w:type="character" w:customStyle="1" w:styleId="SectionHeadingChar">
    <w:name w:val="Section Heading Char"/>
    <w:link w:val="SectionHeading"/>
    <w:rsid w:val="009C2105"/>
    <w:rPr>
      <w:rFonts w:eastAsia="Calibri"/>
      <w:b/>
      <w:color w:val="000000"/>
    </w:rPr>
  </w:style>
  <w:style w:type="character" w:styleId="PageNumber">
    <w:name w:val="page number"/>
    <w:basedOn w:val="DefaultParagraphFont"/>
    <w:uiPriority w:val="99"/>
    <w:semiHidden/>
    <w:locked/>
    <w:rsid w:val="009C2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59789DB8CA4019993DECC73A2E3E44"/>
        <w:category>
          <w:name w:val="General"/>
          <w:gallery w:val="placeholder"/>
        </w:category>
        <w:types>
          <w:type w:val="bbPlcHdr"/>
        </w:types>
        <w:behaviors>
          <w:behavior w:val="content"/>
        </w:behaviors>
        <w:guid w:val="{262C693D-577F-4D7C-A613-5A600C148A34}"/>
      </w:docPartPr>
      <w:docPartBody>
        <w:p w:rsidR="0044537F" w:rsidRDefault="00F7264B">
          <w:pPr>
            <w:pStyle w:val="9659789DB8CA4019993DECC73A2E3E44"/>
          </w:pPr>
          <w:r w:rsidRPr="00B844FE">
            <w:t>Prefix Text</w:t>
          </w:r>
        </w:p>
      </w:docPartBody>
    </w:docPart>
    <w:docPart>
      <w:docPartPr>
        <w:name w:val="9EE74D8B09BC43C4A3018D00C0212E88"/>
        <w:category>
          <w:name w:val="General"/>
          <w:gallery w:val="placeholder"/>
        </w:category>
        <w:types>
          <w:type w:val="bbPlcHdr"/>
        </w:types>
        <w:behaviors>
          <w:behavior w:val="content"/>
        </w:behaviors>
        <w:guid w:val="{1E13A02A-8866-44D3-9DB5-93C5BDBD7F39}"/>
      </w:docPartPr>
      <w:docPartBody>
        <w:p w:rsidR="0044537F" w:rsidRDefault="00F7264B">
          <w:pPr>
            <w:pStyle w:val="9EE74D8B09BC43C4A3018D00C0212E88"/>
          </w:pPr>
          <w:r w:rsidRPr="00B844FE">
            <w:t>[Type here]</w:t>
          </w:r>
        </w:p>
      </w:docPartBody>
    </w:docPart>
    <w:docPart>
      <w:docPartPr>
        <w:name w:val="3FC979DD75A2499A83C12E2039D3AA88"/>
        <w:category>
          <w:name w:val="General"/>
          <w:gallery w:val="placeholder"/>
        </w:category>
        <w:types>
          <w:type w:val="bbPlcHdr"/>
        </w:types>
        <w:behaviors>
          <w:behavior w:val="content"/>
        </w:behaviors>
        <w:guid w:val="{1EB90E42-F45B-4CD6-B3E7-D8B7B16A1929}"/>
      </w:docPartPr>
      <w:docPartBody>
        <w:p w:rsidR="0044537F" w:rsidRDefault="00F7264B">
          <w:pPr>
            <w:pStyle w:val="3FC979DD75A2499A83C12E2039D3AA88"/>
          </w:pPr>
          <w:r w:rsidRPr="00B844FE">
            <w:t>Number</w:t>
          </w:r>
        </w:p>
      </w:docPartBody>
    </w:docPart>
    <w:docPart>
      <w:docPartPr>
        <w:name w:val="DD41B6FBAAAE4B0EA8279CED41F0EAFD"/>
        <w:category>
          <w:name w:val="General"/>
          <w:gallery w:val="placeholder"/>
        </w:category>
        <w:types>
          <w:type w:val="bbPlcHdr"/>
        </w:types>
        <w:behaviors>
          <w:behavior w:val="content"/>
        </w:behaviors>
        <w:guid w:val="{2A51388C-614C-4B31-A80A-D9E592B8256A}"/>
      </w:docPartPr>
      <w:docPartBody>
        <w:p w:rsidR="0044537F" w:rsidRDefault="00F7264B">
          <w:pPr>
            <w:pStyle w:val="DD41B6FBAAAE4B0EA8279CED41F0EAFD"/>
          </w:pPr>
          <w:r>
            <w:rPr>
              <w:rStyle w:val="PlaceholderText"/>
            </w:rPr>
            <w:t>Enter References</w:t>
          </w:r>
        </w:p>
      </w:docPartBody>
    </w:docPart>
    <w:docPart>
      <w:docPartPr>
        <w:name w:val="7E764D9F862F4C2FB9607595F7B4006C"/>
        <w:category>
          <w:name w:val="General"/>
          <w:gallery w:val="placeholder"/>
        </w:category>
        <w:types>
          <w:type w:val="bbPlcHdr"/>
        </w:types>
        <w:behaviors>
          <w:behavior w:val="content"/>
        </w:behaviors>
        <w:guid w:val="{8C7AAB18-071B-4A74-A130-28805AB8647E}"/>
      </w:docPartPr>
      <w:docPartBody>
        <w:p w:rsidR="0044537F" w:rsidRDefault="00F7264B">
          <w:pPr>
            <w:pStyle w:val="7E764D9F862F4C2FB9607595F7B4006C"/>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4B"/>
    <w:rsid w:val="0044537F"/>
    <w:rsid w:val="00F72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59789DB8CA4019993DECC73A2E3E44">
    <w:name w:val="9659789DB8CA4019993DECC73A2E3E44"/>
  </w:style>
  <w:style w:type="paragraph" w:customStyle="1" w:styleId="9EE74D8B09BC43C4A3018D00C0212E88">
    <w:name w:val="9EE74D8B09BC43C4A3018D00C0212E88"/>
  </w:style>
  <w:style w:type="paragraph" w:customStyle="1" w:styleId="3FC979DD75A2499A83C12E2039D3AA88">
    <w:name w:val="3FC979DD75A2499A83C12E2039D3AA88"/>
  </w:style>
  <w:style w:type="character" w:styleId="PlaceholderText">
    <w:name w:val="Placeholder Text"/>
    <w:basedOn w:val="DefaultParagraphFont"/>
    <w:uiPriority w:val="99"/>
    <w:semiHidden/>
    <w:rsid w:val="00F7264B"/>
    <w:rPr>
      <w:color w:val="808080"/>
    </w:rPr>
  </w:style>
  <w:style w:type="paragraph" w:customStyle="1" w:styleId="DD41B6FBAAAE4B0EA8279CED41F0EAFD">
    <w:name w:val="DD41B6FBAAAE4B0EA8279CED41F0EAFD"/>
  </w:style>
  <w:style w:type="paragraph" w:customStyle="1" w:styleId="7E764D9F862F4C2FB9607595F7B4006C">
    <w:name w:val="7E764D9F862F4C2FB9607595F7B40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13</TotalTime>
  <Pages>6</Pages>
  <Words>1728</Words>
  <Characters>8851</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Jocelyn Ellis</cp:lastModifiedBy>
  <cp:revision>7</cp:revision>
  <cp:lastPrinted>2023-02-16T21:04:00Z</cp:lastPrinted>
  <dcterms:created xsi:type="dcterms:W3CDTF">2023-02-16T21:21:00Z</dcterms:created>
  <dcterms:modified xsi:type="dcterms:W3CDTF">2023-02-17T17:45:00Z</dcterms:modified>
</cp:coreProperties>
</file>