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6159D" w14:textId="77777777" w:rsidR="00FE067E" w:rsidRPr="00007E34" w:rsidRDefault="003C6034" w:rsidP="00CC1F3B">
      <w:pPr>
        <w:pStyle w:val="TitlePageOrigin"/>
        <w:rPr>
          <w:color w:val="auto"/>
        </w:rPr>
      </w:pPr>
      <w:r w:rsidRPr="00007E34">
        <w:rPr>
          <w:caps w:val="0"/>
          <w:color w:val="auto"/>
        </w:rPr>
        <w:t>WEST VIRGINIA LEGISLATURE</w:t>
      </w:r>
    </w:p>
    <w:p w14:paraId="2B880566" w14:textId="3684AAFF" w:rsidR="00CD36CF" w:rsidRPr="00007E34" w:rsidRDefault="00CD36CF" w:rsidP="00CC1F3B">
      <w:pPr>
        <w:pStyle w:val="TitlePageSession"/>
        <w:rPr>
          <w:color w:val="auto"/>
        </w:rPr>
      </w:pPr>
      <w:r w:rsidRPr="00007E34">
        <w:rPr>
          <w:color w:val="auto"/>
        </w:rPr>
        <w:t>20</w:t>
      </w:r>
      <w:r w:rsidR="00EC5E63" w:rsidRPr="00007E34">
        <w:rPr>
          <w:color w:val="auto"/>
        </w:rPr>
        <w:t>2</w:t>
      </w:r>
      <w:r w:rsidR="00B71E6F" w:rsidRPr="00007E34">
        <w:rPr>
          <w:color w:val="auto"/>
        </w:rPr>
        <w:t>3</w:t>
      </w:r>
      <w:r w:rsidRPr="00007E34">
        <w:rPr>
          <w:color w:val="auto"/>
        </w:rPr>
        <w:t xml:space="preserve"> </w:t>
      </w:r>
      <w:r w:rsidR="003C6034" w:rsidRPr="00007E34">
        <w:rPr>
          <w:caps w:val="0"/>
          <w:color w:val="auto"/>
        </w:rPr>
        <w:t>REGULAR SESSION</w:t>
      </w:r>
    </w:p>
    <w:p w14:paraId="1C43D9F9" w14:textId="3ED1B385" w:rsidR="00CD36CF" w:rsidRPr="00007E34" w:rsidRDefault="003977AD" w:rsidP="00CC1F3B">
      <w:pPr>
        <w:pStyle w:val="TitlePageBillPrefix"/>
        <w:rPr>
          <w:color w:val="auto"/>
        </w:rPr>
      </w:pPr>
      <w:sdt>
        <w:sdtPr>
          <w:rPr>
            <w:color w:val="auto"/>
          </w:rPr>
          <w:tag w:val="IntroDate"/>
          <w:id w:val="-1236936958"/>
          <w:placeholder>
            <w:docPart w:val="04B598C49C61403C86FFFEA29F21FA00"/>
          </w:placeholder>
          <w:text/>
        </w:sdtPr>
        <w:sdtEndPr/>
        <w:sdtContent>
          <w:r w:rsidR="00630E07" w:rsidRPr="00007E34">
            <w:rPr>
              <w:color w:val="auto"/>
            </w:rPr>
            <w:t>Enrolled</w:t>
          </w:r>
        </w:sdtContent>
      </w:sdt>
    </w:p>
    <w:p w14:paraId="720DD69B" w14:textId="738BD1B6" w:rsidR="00CD36CF" w:rsidRPr="00007E34" w:rsidRDefault="003977AD" w:rsidP="00CC1F3B">
      <w:pPr>
        <w:pStyle w:val="BillNumber"/>
        <w:rPr>
          <w:color w:val="auto"/>
        </w:rPr>
      </w:pPr>
      <w:sdt>
        <w:sdtPr>
          <w:rPr>
            <w:color w:val="auto"/>
          </w:rPr>
          <w:tag w:val="Chamber"/>
          <w:id w:val="893011969"/>
          <w:lock w:val="sdtLocked"/>
          <w:placeholder>
            <w:docPart w:val="475798A118164D99BFFCB2CEF98520A3"/>
          </w:placeholder>
          <w:dropDownList>
            <w:listItem w:displayText="House" w:value="House"/>
            <w:listItem w:displayText="Senate" w:value="Senate"/>
          </w:dropDownList>
        </w:sdtPr>
        <w:sdtEndPr/>
        <w:sdtContent>
          <w:r w:rsidR="004F26B9" w:rsidRPr="00007E34">
            <w:rPr>
              <w:color w:val="auto"/>
            </w:rPr>
            <w:t>Senate</w:t>
          </w:r>
        </w:sdtContent>
      </w:sdt>
      <w:r w:rsidR="00303684" w:rsidRPr="00007E34">
        <w:rPr>
          <w:color w:val="auto"/>
        </w:rPr>
        <w:t xml:space="preserve"> </w:t>
      </w:r>
      <w:r w:rsidR="00CD36CF" w:rsidRPr="00007E34">
        <w:rPr>
          <w:color w:val="auto"/>
        </w:rPr>
        <w:t xml:space="preserve">Bill </w:t>
      </w:r>
      <w:sdt>
        <w:sdtPr>
          <w:rPr>
            <w:color w:val="auto"/>
          </w:rPr>
          <w:tag w:val="BNum"/>
          <w:id w:val="1645317809"/>
          <w:lock w:val="sdtLocked"/>
          <w:placeholder>
            <w:docPart w:val="F1A540EB3CB44D779B9139D560498C50"/>
          </w:placeholder>
          <w:text/>
        </w:sdtPr>
        <w:sdtEndPr/>
        <w:sdtContent>
          <w:r w:rsidR="007D209D" w:rsidRPr="00007E34">
            <w:rPr>
              <w:color w:val="auto"/>
            </w:rPr>
            <w:t>544</w:t>
          </w:r>
        </w:sdtContent>
      </w:sdt>
    </w:p>
    <w:p w14:paraId="17EEFE82" w14:textId="064F5F18" w:rsidR="00CD36CF" w:rsidRPr="00007E34" w:rsidRDefault="00CD36CF" w:rsidP="00CC1F3B">
      <w:pPr>
        <w:pStyle w:val="Sponsors"/>
        <w:rPr>
          <w:color w:val="auto"/>
        </w:rPr>
      </w:pPr>
      <w:r w:rsidRPr="00007E34">
        <w:rPr>
          <w:color w:val="auto"/>
        </w:rPr>
        <w:t xml:space="preserve">By </w:t>
      </w:r>
      <w:sdt>
        <w:sdtPr>
          <w:rPr>
            <w:color w:val="auto"/>
          </w:rPr>
          <w:tag w:val="Sponsors"/>
          <w:id w:val="1589585889"/>
          <w:placeholder>
            <w:docPart w:val="C2B2DA62FBA64612A98FE25BF3FD84BE"/>
          </w:placeholder>
          <w:text w:multiLine="1"/>
        </w:sdtPr>
        <w:sdtEndPr/>
        <w:sdtContent>
          <w:r w:rsidR="004F26B9" w:rsidRPr="00007E34">
            <w:rPr>
              <w:color w:val="auto"/>
            </w:rPr>
            <w:t>Senator Queen</w:t>
          </w:r>
        </w:sdtContent>
      </w:sdt>
    </w:p>
    <w:p w14:paraId="46A680FE" w14:textId="27BEE722" w:rsidR="00E831B3" w:rsidRPr="00007E34" w:rsidRDefault="00CD36CF" w:rsidP="00CC1F3B">
      <w:pPr>
        <w:pStyle w:val="References"/>
        <w:rPr>
          <w:color w:val="auto"/>
        </w:rPr>
      </w:pPr>
      <w:r w:rsidRPr="00007E34">
        <w:rPr>
          <w:color w:val="auto"/>
        </w:rPr>
        <w:t>[</w:t>
      </w:r>
      <w:sdt>
        <w:sdtPr>
          <w:rPr>
            <w:color w:val="auto"/>
          </w:rPr>
          <w:tag w:val="References"/>
          <w:id w:val="-1043047873"/>
          <w:placeholder>
            <w:docPart w:val="44374541FCF447B2991C866286BAC5BC"/>
          </w:placeholder>
          <w:text w:multiLine="1"/>
        </w:sdtPr>
        <w:sdtEndPr/>
        <w:sdtContent>
          <w:r w:rsidR="00630E07" w:rsidRPr="00007E34">
            <w:rPr>
              <w:color w:val="auto"/>
            </w:rPr>
            <w:t>Passed March 11, 2023; in effect 90 days form passage</w:t>
          </w:r>
        </w:sdtContent>
      </w:sdt>
      <w:r w:rsidRPr="00007E34">
        <w:rPr>
          <w:color w:val="auto"/>
        </w:rPr>
        <w:t>]</w:t>
      </w:r>
    </w:p>
    <w:p w14:paraId="331EB5EE" w14:textId="721A824B" w:rsidR="00630E07" w:rsidRPr="00007E34" w:rsidRDefault="00630E07" w:rsidP="00630E07">
      <w:pPr>
        <w:pStyle w:val="TitleSection"/>
      </w:pPr>
      <w:r w:rsidRPr="00007E34">
        <w:lastRenderedPageBreak/>
        <w:t>AN ACT to amend and reenact §24-2-1 of the Code of West Virginia, 1931</w:t>
      </w:r>
      <w:r w:rsidR="002D0DCE">
        <w:t>,</w:t>
      </w:r>
      <w:r w:rsidRPr="00007E34">
        <w:t xml:space="preserve"> as amended, relating to increasing the power purchase agreement cap from 25 kW to 50kW for residential customers and from 500 kW to 1,000 kW for commercial customers.</w:t>
      </w:r>
    </w:p>
    <w:p w14:paraId="6E16E845" w14:textId="77777777" w:rsidR="00303684" w:rsidRPr="00007E34" w:rsidRDefault="00303684" w:rsidP="00CC1F3B">
      <w:pPr>
        <w:pStyle w:val="EnactingClause"/>
        <w:rPr>
          <w:color w:val="auto"/>
        </w:rPr>
      </w:pPr>
      <w:r w:rsidRPr="00007E34">
        <w:rPr>
          <w:color w:val="auto"/>
        </w:rPr>
        <w:t>Be it enacted by the Legislature of West Virginia:</w:t>
      </w:r>
    </w:p>
    <w:p w14:paraId="432F52E7" w14:textId="77777777" w:rsidR="00630E07" w:rsidRPr="00007E34" w:rsidRDefault="00630E07" w:rsidP="00D01FC9">
      <w:pPr>
        <w:jc w:val="both"/>
        <w:rPr>
          <w:rFonts w:cs="Arial"/>
          <w:color w:val="000000"/>
        </w:rPr>
        <w:sectPr w:rsidR="00630E07" w:rsidRPr="00007E34" w:rsidSect="003E5A99">
          <w:headerReference w:type="default" r:id="rId8"/>
          <w:footerReference w:type="even" r:id="rId9"/>
          <w:footerReference w:type="default" r:id="rId10"/>
          <w:type w:val="continuous"/>
          <w:pgSz w:w="12240" w:h="15840" w:code="1"/>
          <w:pgMar w:top="1440" w:right="1440" w:bottom="1440" w:left="1440" w:header="720" w:footer="720" w:gutter="0"/>
          <w:lnNumType w:countBy="1" w:restart="newSection"/>
          <w:cols w:space="720"/>
          <w:titlePg/>
          <w:docGrid w:linePitch="360"/>
        </w:sectPr>
      </w:pPr>
      <w:bookmarkStart w:id="0" w:name="_Hlk128227570"/>
    </w:p>
    <w:p w14:paraId="098C3D1D" w14:textId="77777777" w:rsidR="00630E07" w:rsidRPr="00007E34" w:rsidRDefault="00630E07" w:rsidP="00DF0409">
      <w:pPr>
        <w:pStyle w:val="ArticleHeading"/>
        <w:sectPr w:rsidR="00630E07" w:rsidRPr="00007E34" w:rsidSect="004F26B9">
          <w:type w:val="continuous"/>
          <w:pgSz w:w="12240" w:h="15840" w:code="1"/>
          <w:pgMar w:top="1440" w:right="1440" w:bottom="1440" w:left="1440" w:header="720" w:footer="720" w:gutter="0"/>
          <w:lnNumType w:countBy="1" w:restart="newSection"/>
          <w:cols w:space="720"/>
          <w:titlePg/>
          <w:docGrid w:linePitch="360"/>
        </w:sectPr>
      </w:pPr>
      <w:r w:rsidRPr="00007E34">
        <w:t>ARTICLE 2. POWERS AND DUTIES OF PUBLIC SERVICE COMMISSION.</w:t>
      </w:r>
    </w:p>
    <w:p w14:paraId="6411492A" w14:textId="77777777" w:rsidR="00630E07" w:rsidRPr="00007E34" w:rsidRDefault="00630E07" w:rsidP="00DF0409">
      <w:pPr>
        <w:pStyle w:val="SectionHeading"/>
      </w:pPr>
      <w:r w:rsidRPr="00007E34">
        <w:t>§24-2-1. Jurisdiction of commission; waiver of jurisdiction.</w:t>
      </w:r>
    </w:p>
    <w:p w14:paraId="0630C2FA" w14:textId="77777777" w:rsidR="00630E07" w:rsidRPr="00007E34" w:rsidRDefault="00630E07" w:rsidP="00DF0409">
      <w:pPr>
        <w:pStyle w:val="SectionBody"/>
        <w:widowControl/>
      </w:pPr>
      <w:r w:rsidRPr="00007E34">
        <w:t>(a) The jurisdiction of the commission extends to all public utilities in this state and includes any utility engaged in any of the following public services:</w:t>
      </w:r>
    </w:p>
    <w:p w14:paraId="17B4A7D2" w14:textId="77777777" w:rsidR="00630E07" w:rsidRPr="00007E34" w:rsidRDefault="00630E07" w:rsidP="00DF0409">
      <w:pPr>
        <w:pStyle w:val="SectionBody"/>
        <w:widowControl/>
      </w:pPr>
      <w:r w:rsidRPr="00007E34">
        <w:t xml:space="preserve">(1) Common carriage of passengers or goods, whether by air, railroad, street railroad, motor, or otherwise, by express or otherwise, by land, water, or air, whether wholly or partly by land, water, or air; </w:t>
      </w:r>
    </w:p>
    <w:p w14:paraId="0896E335" w14:textId="77777777" w:rsidR="00630E07" w:rsidRPr="00007E34" w:rsidRDefault="00630E07" w:rsidP="00DF0409">
      <w:pPr>
        <w:pStyle w:val="SectionBody"/>
        <w:widowControl/>
      </w:pPr>
      <w:r w:rsidRPr="00007E34">
        <w:t xml:space="preserve">(2) Transportation of oil, gas, or water by pipeline; </w:t>
      </w:r>
    </w:p>
    <w:p w14:paraId="1F971969" w14:textId="77777777" w:rsidR="00630E07" w:rsidRPr="00007E34" w:rsidRDefault="00630E07" w:rsidP="00DF0409">
      <w:pPr>
        <w:pStyle w:val="SectionBody"/>
        <w:widowControl/>
      </w:pPr>
      <w:r w:rsidRPr="00007E34">
        <w:t xml:space="preserve">(3) Transportation of coal and its derivatives and all mixtures and combinations thereof with other substances by pipeline; </w:t>
      </w:r>
    </w:p>
    <w:p w14:paraId="02B68A9E" w14:textId="77777777" w:rsidR="00630E07" w:rsidRPr="00007E34" w:rsidRDefault="00630E07" w:rsidP="00DF0409">
      <w:pPr>
        <w:pStyle w:val="SectionBody"/>
        <w:widowControl/>
      </w:pPr>
      <w:r w:rsidRPr="00007E34">
        <w:t xml:space="preserve">(4) Sleeping car or parlor car services; </w:t>
      </w:r>
    </w:p>
    <w:p w14:paraId="2FF08F17" w14:textId="77777777" w:rsidR="00630E07" w:rsidRPr="00007E34" w:rsidRDefault="00630E07" w:rsidP="00DF0409">
      <w:pPr>
        <w:pStyle w:val="SectionBody"/>
        <w:widowControl/>
      </w:pPr>
      <w:r w:rsidRPr="00007E34">
        <w:t xml:space="preserve">(5) Transmission of messages by telephone, telegraph, or radio; </w:t>
      </w:r>
    </w:p>
    <w:p w14:paraId="3AAE27F8" w14:textId="77777777" w:rsidR="00630E07" w:rsidRPr="00007E34" w:rsidRDefault="00630E07" w:rsidP="00DF0409">
      <w:pPr>
        <w:pStyle w:val="SectionBody"/>
        <w:widowControl/>
      </w:pPr>
      <w:r w:rsidRPr="00007E34">
        <w:t xml:space="preserve">(6) Generation and transmission of electrical energy by hydroelectric or other utilities for service to the public, whether directly or through a distributing utility; </w:t>
      </w:r>
    </w:p>
    <w:p w14:paraId="464031EE" w14:textId="77777777" w:rsidR="00630E07" w:rsidRPr="00007E34" w:rsidRDefault="00630E07" w:rsidP="00DF0409">
      <w:pPr>
        <w:pStyle w:val="SectionBody"/>
        <w:widowControl/>
        <w:rPr>
          <w:rFonts w:eastAsia="Times New Roman" w:cs="Arial"/>
        </w:rPr>
      </w:pPr>
      <w:r w:rsidRPr="00007E34">
        <w:t xml:space="preserve">(7) Supplying water, gas, or electricity by municipalities or others: </w:t>
      </w:r>
      <w:r w:rsidRPr="00007E34">
        <w:rPr>
          <w:i/>
        </w:rPr>
        <w:t xml:space="preserve">Provided, </w:t>
      </w:r>
      <w:r w:rsidRPr="00007E34">
        <w:t xml:space="preserve">That natural gas producers who provide natural gas service to not more than 25 residential customers are exempt from the jurisdiction of the commission with regard to the provisions of the residential service: </w:t>
      </w:r>
      <w:r w:rsidRPr="00007E34">
        <w:rPr>
          <w:i/>
        </w:rPr>
        <w:t>Provided, however</w:t>
      </w:r>
      <w:r w:rsidRPr="00007E34">
        <w:t xml:space="preserve">, That upon request of any of the customers of the natural gas producers, the commission may, upon good cause being shown, exercise authority as the commission may consider appropriate over the operation, rates, and charges of the producer and for the length of time determined proper by the commission: </w:t>
      </w:r>
      <w:r w:rsidRPr="00007E34">
        <w:rPr>
          <w:i/>
          <w:iCs/>
        </w:rPr>
        <w:t>Provided further</w:t>
      </w:r>
      <w:r w:rsidRPr="00007E34">
        <w:t xml:space="preserve">, That the provision of a solar photovoltaic energy facility located on and designed to meet only the electrical needs </w:t>
      </w:r>
      <w:r w:rsidRPr="00007E34">
        <w:lastRenderedPageBreak/>
        <w:t xml:space="preserve">of the premises of a retail electric customer, the output of which is subject to a power purchase agreement (PPAs) with the retail electric customer, shall not constitute a public service, </w:t>
      </w:r>
      <w:r w:rsidRPr="00007E34">
        <w:rPr>
          <w:rFonts w:eastAsia="Times New Roman" w:cs="Arial"/>
        </w:rPr>
        <w:t xml:space="preserve">subject to the following conditions and limitations:  </w:t>
      </w:r>
    </w:p>
    <w:p w14:paraId="27C85353" w14:textId="14ADD51C" w:rsidR="00630E07" w:rsidRPr="00007E34" w:rsidRDefault="00630E07" w:rsidP="00DF0409">
      <w:pPr>
        <w:pStyle w:val="SectionBody"/>
        <w:widowControl/>
        <w:rPr>
          <w:rFonts w:eastAsia="Times New Roman" w:cs="Arial"/>
        </w:rPr>
      </w:pPr>
      <w:r w:rsidRPr="00007E34">
        <w:rPr>
          <w:rFonts w:eastAsia="Times New Roman" w:cs="Arial"/>
        </w:rPr>
        <w:t>(i) PPAs must be 11 point font or larger;</w:t>
      </w:r>
    </w:p>
    <w:p w14:paraId="4B316527" w14:textId="77777777" w:rsidR="00630E07" w:rsidRPr="00007E34" w:rsidRDefault="00630E07" w:rsidP="00DF0409">
      <w:pPr>
        <w:pStyle w:val="SectionBody"/>
        <w:widowControl/>
        <w:rPr>
          <w:rFonts w:eastAsia="Times New Roman" w:cs="Arial"/>
        </w:rPr>
      </w:pPr>
      <w:r w:rsidRPr="00007E34">
        <w:rPr>
          <w:rFonts w:eastAsia="Times New Roman" w:cs="Arial"/>
        </w:rPr>
        <w:t xml:space="preserve">(ii) The aggregate of all PPAs and net metering arrangements in the state for any utility shall not exceed three percent of the utility’s aggregate customer peak demand in the state during the previous year; </w:t>
      </w:r>
    </w:p>
    <w:p w14:paraId="41026661" w14:textId="4206E1EC" w:rsidR="00630E07" w:rsidRPr="00007E34" w:rsidRDefault="00630E07" w:rsidP="00DF0409">
      <w:pPr>
        <w:pStyle w:val="SectionBody"/>
        <w:widowControl/>
        <w:rPr>
          <w:rFonts w:eastAsia="Times New Roman" w:cs="Arial"/>
        </w:rPr>
      </w:pPr>
      <w:r w:rsidRPr="00007E34">
        <w:rPr>
          <w:rFonts w:eastAsia="Times New Roman" w:cs="Arial"/>
        </w:rPr>
        <w:t xml:space="preserve">(iii) There shall be individual customer on-site generator limits of designing the photovoltaic energy facility to meet only the electrical needs of the premises of the retail electric customer and which in no case shall exceed 50kW for residential customers, 1,000 kW for commercial customers, and 2,000 kW for industrial customers; </w:t>
      </w:r>
    </w:p>
    <w:p w14:paraId="141E6F95" w14:textId="77777777" w:rsidR="00630E07" w:rsidRPr="00007E34" w:rsidRDefault="00630E07" w:rsidP="00DF0409">
      <w:pPr>
        <w:pStyle w:val="SectionBody"/>
        <w:widowControl/>
        <w:rPr>
          <w:rFonts w:eastAsia="Times New Roman" w:cs="Arial"/>
        </w:rPr>
      </w:pPr>
      <w:r w:rsidRPr="00007E34">
        <w:rPr>
          <w:rFonts w:eastAsia="Times New Roman" w:cs="Arial"/>
        </w:rPr>
        <w:t xml:space="preserve">(iv) Customers who enter into PPAs relating to photovoltaic facilities are to notify the utility of its intent to enter into a transaction.  In response, the utility shall notify within 30 days if any of the caps have been reached.  If the utility does not respond within 30 days, the generator may proceed and the caps will be presumed not to have been reached; and </w:t>
      </w:r>
    </w:p>
    <w:p w14:paraId="6EAB6085" w14:textId="77777777" w:rsidR="00630E07" w:rsidRPr="00007E34" w:rsidRDefault="00630E07" w:rsidP="00DF0409">
      <w:pPr>
        <w:pStyle w:val="SectionBody"/>
        <w:widowControl/>
      </w:pPr>
      <w:r w:rsidRPr="00007E34">
        <w:rPr>
          <w:rFonts w:eastAsia="Times New Roman" w:cs="Arial"/>
        </w:rPr>
        <w:t>(v) The Public Service Commission may promulgate rules to govern and implement the provisions of interconnections for PPAs, except the PSC does not have authority over the power rates for the arrangements between the on-site generator and the customer;</w:t>
      </w:r>
    </w:p>
    <w:p w14:paraId="3FA2D3C4" w14:textId="77777777" w:rsidR="00630E07" w:rsidRPr="00007E34" w:rsidRDefault="00630E07" w:rsidP="00DF0409">
      <w:pPr>
        <w:pStyle w:val="SectionBody"/>
        <w:widowControl/>
      </w:pPr>
      <w:r w:rsidRPr="00007E34">
        <w:t xml:space="preserve">(8) Sewer systems servicing 25 or more persons or firms other than the owner of the sewer systems: </w:t>
      </w:r>
      <w:r w:rsidRPr="00007E34">
        <w:rPr>
          <w:i/>
        </w:rPr>
        <w:t>Provided</w:t>
      </w:r>
      <w:r w:rsidRPr="00007E34">
        <w:t xml:space="preserve">, That if a public utility other than a political subdivision intends to provide sewer service by an innovative, alternative method, as defined by the federal Environmental Protection Agency, the innovative, alternative method is a public utility function and subject to the jurisdiction of the Public Service Commission, regardless of the number of customers served by the innovative, alternative method; </w:t>
      </w:r>
    </w:p>
    <w:p w14:paraId="64A2CD02" w14:textId="77777777" w:rsidR="00630E07" w:rsidRPr="00007E34" w:rsidRDefault="00630E07" w:rsidP="00DF0409">
      <w:pPr>
        <w:pStyle w:val="SectionBody"/>
        <w:widowControl/>
      </w:pPr>
      <w:r w:rsidRPr="00007E34">
        <w:lastRenderedPageBreak/>
        <w:t>(9) Any public service district created under the provisions of §16-13A-1</w:t>
      </w:r>
      <w:r w:rsidRPr="00007E34">
        <w:rPr>
          <w:i/>
        </w:rPr>
        <w:t xml:space="preserve"> et seq. </w:t>
      </w:r>
      <w:r w:rsidRPr="00007E34">
        <w:t xml:space="preserve">of this code, except that the Public Service Commission has no jurisdiction over the provision of stormwater services by a public service district; </w:t>
      </w:r>
    </w:p>
    <w:p w14:paraId="549FB884" w14:textId="77777777" w:rsidR="00630E07" w:rsidRPr="00007E34" w:rsidRDefault="00630E07" w:rsidP="00DF0409">
      <w:pPr>
        <w:pStyle w:val="SectionBody"/>
      </w:pPr>
      <w:r w:rsidRPr="00007E34">
        <w:t>(10) Toll bridges located more than five miles from a toll-free bridge which crosses the same body of water or obstacle, wharves, ferries; solid waste facilities; and</w:t>
      </w:r>
    </w:p>
    <w:p w14:paraId="0E768449" w14:textId="77777777" w:rsidR="00630E07" w:rsidRPr="00007E34" w:rsidRDefault="00630E07" w:rsidP="00DF0409">
      <w:pPr>
        <w:pStyle w:val="SectionBody"/>
        <w:rPr>
          <w:rFonts w:eastAsia="Times New Roman"/>
        </w:rPr>
      </w:pPr>
      <w:r w:rsidRPr="00007E34">
        <w:t>(11) Any other public service.</w:t>
      </w:r>
    </w:p>
    <w:p w14:paraId="73BDA04F" w14:textId="77777777" w:rsidR="00630E07" w:rsidRPr="00007E34" w:rsidRDefault="00630E07" w:rsidP="00DF0409">
      <w:pPr>
        <w:pStyle w:val="SectionBody"/>
        <w:rPr>
          <w:rFonts w:cs="Times New Roman"/>
        </w:rPr>
      </w:pPr>
      <w:r w:rsidRPr="00007E34">
        <w:rPr>
          <w:rFonts w:cs="Times New Roman"/>
        </w:rPr>
        <w:t xml:space="preserve">(b) The jurisdiction of the commission over political subdivisions of this state providing separate or combined water and/or sewer services and having at least 4,500 customers and annual combined gross revenues of $3 million or more that are political subdivisions of the state is limited to: </w:t>
      </w:r>
    </w:p>
    <w:p w14:paraId="4CBBF4F4" w14:textId="77777777" w:rsidR="00630E07" w:rsidRPr="00007E34" w:rsidRDefault="00630E07" w:rsidP="00DF0409">
      <w:pPr>
        <w:pStyle w:val="SectionBody"/>
        <w:rPr>
          <w:rFonts w:cs="Times New Roman"/>
        </w:rPr>
      </w:pPr>
      <w:r w:rsidRPr="00007E34">
        <w:rPr>
          <w:rFonts w:cs="Times New Roman"/>
        </w:rPr>
        <w:t>(1) General supervision of public utilities, as granted and described in §24-2-5 of this code;</w:t>
      </w:r>
    </w:p>
    <w:p w14:paraId="61B11107" w14:textId="77777777" w:rsidR="00630E07" w:rsidRPr="00007E34" w:rsidRDefault="00630E07" w:rsidP="00DF0409">
      <w:pPr>
        <w:pStyle w:val="SectionBody"/>
        <w:rPr>
          <w:rFonts w:cs="Times New Roman"/>
        </w:rPr>
      </w:pPr>
      <w:r w:rsidRPr="00007E34">
        <w:rPr>
          <w:rFonts w:cs="Times New Roman"/>
        </w:rPr>
        <w:t xml:space="preserve">(2) Regulation of measurements, practices, acts, or services, as granted and described in §24-2-7 of this code; </w:t>
      </w:r>
    </w:p>
    <w:p w14:paraId="60E711F5" w14:textId="77777777" w:rsidR="00630E07" w:rsidRPr="00007E34" w:rsidRDefault="00630E07" w:rsidP="00DF0409">
      <w:pPr>
        <w:pStyle w:val="SectionBody"/>
        <w:rPr>
          <w:rFonts w:cs="Times New Roman"/>
        </w:rPr>
      </w:pPr>
      <w:r w:rsidRPr="00007E34">
        <w:rPr>
          <w:rFonts w:cs="Times New Roman"/>
        </w:rPr>
        <w:t xml:space="preserve">(3) Regulation of a system of accounts to be kept by a public utility that is a political subdivision of the state, as granted and described in §24-2-8 of this code; </w:t>
      </w:r>
    </w:p>
    <w:p w14:paraId="1BA8CABC" w14:textId="77777777" w:rsidR="00630E07" w:rsidRPr="00007E34" w:rsidRDefault="00630E07" w:rsidP="00DF0409">
      <w:pPr>
        <w:pStyle w:val="SectionBody"/>
        <w:rPr>
          <w:rFonts w:cs="Times New Roman"/>
        </w:rPr>
      </w:pPr>
      <w:r w:rsidRPr="00007E34">
        <w:rPr>
          <w:rFonts w:cs="Times New Roman"/>
        </w:rPr>
        <w:t xml:space="preserve">(4) Submission of information to the commission regarding rates, tolls, charges, or practices, as granted and described in §24-2-9 of this code; </w:t>
      </w:r>
    </w:p>
    <w:p w14:paraId="357642E6" w14:textId="77777777" w:rsidR="00630E07" w:rsidRPr="00007E34" w:rsidRDefault="00630E07" w:rsidP="00DF0409">
      <w:pPr>
        <w:pStyle w:val="SectionBody"/>
        <w:rPr>
          <w:rFonts w:cs="Times New Roman"/>
        </w:rPr>
      </w:pPr>
      <w:r w:rsidRPr="00007E34">
        <w:rPr>
          <w:rFonts w:cs="Times New Roman"/>
        </w:rPr>
        <w:t xml:space="preserve">(5) Authority to subpoena witnesses, take testimony, and administer oaths to any witness in any proceeding before or conducted by the commission, as granted and described in §24-2-10 of this code; and </w:t>
      </w:r>
    </w:p>
    <w:p w14:paraId="14F138AA" w14:textId="25655C16" w:rsidR="00630E07" w:rsidRPr="00007E34" w:rsidRDefault="00630E07" w:rsidP="00DF0409">
      <w:pPr>
        <w:pStyle w:val="SectionBody"/>
        <w:rPr>
          <w:rFonts w:cs="Times New Roman"/>
        </w:rPr>
      </w:pPr>
      <w:r w:rsidRPr="00007E34">
        <w:rPr>
          <w:rFonts w:cs="Times New Roman"/>
        </w:rPr>
        <w:t xml:space="preserve">(6) Investigation and resolution of disputes between a political subdivision of the state providing wholesale water and/or wastewater treatment or other services, whether by contract or through a tariff, and its customer or customers, including, but not limited to, rates, fees, and charges, service areas and contested utility combinations: </w:t>
      </w:r>
      <w:r w:rsidRPr="00007E34">
        <w:rPr>
          <w:rFonts w:cs="Times New Roman"/>
          <w:i/>
        </w:rPr>
        <w:t>Provided,</w:t>
      </w:r>
      <w:r w:rsidRPr="00007E34">
        <w:rPr>
          <w:rFonts w:cs="Times New Roman"/>
        </w:rPr>
        <w:t xml:space="preserve"> That any request for an investigation related to a dispute that is based on the act or omission of the political subdivision shall be filed within 30 days of the act or omission of the political subdivision and the commission </w:t>
      </w:r>
      <w:r w:rsidRPr="00007E34">
        <w:rPr>
          <w:rFonts w:cs="Times New Roman"/>
        </w:rPr>
        <w:lastRenderedPageBreak/>
        <w:t xml:space="preserve">shall resolve the dispute within 120 days of filing. The 120-day period for resolution of the dispute may be tolled by the commission until the necessary information showing the basis of the rates, fees, and charges or other information required by the commission is filed: </w:t>
      </w:r>
      <w:r w:rsidRPr="00007E34">
        <w:rPr>
          <w:rFonts w:cs="Times New Roman"/>
          <w:i/>
        </w:rPr>
        <w:t>Provided, however</w:t>
      </w:r>
      <w:r w:rsidRPr="00007E34">
        <w:rPr>
          <w:rFonts w:cs="Times New Roman"/>
        </w:rPr>
        <w:t>, That the disputed rates, fees, and charges fixed by the political subdivision providing separate or combined water and/or sewer services shall remain in full force and effect until set aside, altered, or amended by the commission in an order to be followed in the future.</w:t>
      </w:r>
    </w:p>
    <w:p w14:paraId="051793B3" w14:textId="77777777" w:rsidR="00630E07" w:rsidRPr="00007E34" w:rsidRDefault="00630E07" w:rsidP="00DF0409">
      <w:pPr>
        <w:pStyle w:val="SectionBody"/>
        <w:rPr>
          <w:rFonts w:cs="Times New Roman"/>
        </w:rPr>
      </w:pPr>
      <w:r w:rsidRPr="00007E34">
        <w:rPr>
          <w:rFonts w:cs="Times New Roman"/>
        </w:rPr>
        <w:t xml:space="preserve">(7) Customers of water and sewer utilities operated by a political subdivision of the state may bring formal or informal complaints regarding the commission’s exercise of the powers enumerated in this section and the commission shall resolve these complaints: </w:t>
      </w:r>
      <w:r w:rsidRPr="00007E34">
        <w:rPr>
          <w:rFonts w:cs="Times New Roman"/>
          <w:i/>
        </w:rPr>
        <w:t>Provided,</w:t>
      </w:r>
      <w:r w:rsidRPr="00007E34">
        <w:rPr>
          <w:rFonts w:cs="Times New Roman"/>
        </w:rPr>
        <w:t xml:space="preserve"> That any formal complaint filed under this section that is based on the act or omission of the political subdivision shall be filed within 30 days of the act or omission complained of and the commission shall resolve the complaint within 180 days of filing. The 180-day period for resolution of the dispute may be tolled by the commission until the necessary information showing the basis of the matter complained of is filed by the political subdivision: </w:t>
      </w:r>
      <w:r w:rsidRPr="00007E34">
        <w:rPr>
          <w:rFonts w:cs="Times New Roman"/>
          <w:i/>
        </w:rPr>
        <w:t>Provided, however</w:t>
      </w:r>
      <w:r w:rsidRPr="00007E34">
        <w:rPr>
          <w:rFonts w:cs="Times New Roman"/>
        </w:rPr>
        <w:t xml:space="preserve">, That whenever the commission finds any regulations, measurements, practices, acts, or service to be unjust, unreasonable, insufficient, or unjustly discriminatory, or otherwise in violation of any provisions of this chapter, or finds that any service is inadequate, or that any service which is demanded cannot be reasonably obtained, the commission shall determine and declare, and by order fix reasonable measurement, regulations, acts, practices or services, to be furnished, imposed, observed, and followed in lieu of those found to be unjust, unreasonable, insufficient, or unjustly discriminatory, inadequate, or otherwise in violation of this chapter, and shall make an order that is just and reasonable: </w:t>
      </w:r>
      <w:r w:rsidRPr="00007E34">
        <w:rPr>
          <w:rFonts w:cs="Times New Roman"/>
          <w:i/>
        </w:rPr>
        <w:t>Provided further</w:t>
      </w:r>
      <w:r w:rsidRPr="00007E34">
        <w:rPr>
          <w:rFonts w:cs="Times New Roman"/>
        </w:rPr>
        <w:t>, That if the matter complained of would affect rates, fees, and charges fixed by the political subdivision providing separate or combined water and/or sewer services, the rates, fees, or charges shall remain in full force and effect until set aside, altered, or amended by the commission in an order to be followed in the future.</w:t>
      </w:r>
    </w:p>
    <w:p w14:paraId="7489E782" w14:textId="77777777" w:rsidR="00630E07" w:rsidRPr="00007E34" w:rsidRDefault="00630E07" w:rsidP="00DF0409">
      <w:pPr>
        <w:pStyle w:val="SectionBody"/>
        <w:rPr>
          <w:rFonts w:cs="Times New Roman"/>
        </w:rPr>
      </w:pPr>
      <w:r w:rsidRPr="00007E34">
        <w:rPr>
          <w:rFonts w:cs="Times New Roman"/>
        </w:rPr>
        <w:t xml:space="preserve">(8) If a political subdivision has a deficiency in either its bond revenue or bond reserve </w:t>
      </w:r>
      <w:r w:rsidRPr="00007E34">
        <w:rPr>
          <w:rFonts w:cs="Times New Roman"/>
        </w:rPr>
        <w:lastRenderedPageBreak/>
        <w:t xml:space="preserve">accounts, or is otherwise in breach of a bond covenant, any bond holder may petition the Public Service Commission for any redress that will bring the accounts to current status or otherwise resolve the breached covenant. The commission has jurisdiction to fully resolve the alleged deficiency or breach. </w:t>
      </w:r>
    </w:p>
    <w:p w14:paraId="698349E1" w14:textId="77777777" w:rsidR="00630E07" w:rsidRPr="00007E34" w:rsidRDefault="00630E07" w:rsidP="00DF0409">
      <w:pPr>
        <w:pStyle w:val="SectionBody"/>
        <w:rPr>
          <w:rFonts w:cs="Times New Roman"/>
        </w:rPr>
      </w:pPr>
      <w:r w:rsidRPr="00007E34">
        <w:rPr>
          <w:rFonts w:cs="Times New Roman"/>
        </w:rPr>
        <w:t>(c) The commission may, upon application, waive its jurisdiction and allow a utility operating in an adjoining state to provide service in West Virginia when:</w:t>
      </w:r>
    </w:p>
    <w:p w14:paraId="6CB62D0E" w14:textId="77777777" w:rsidR="00630E07" w:rsidRPr="00007E34" w:rsidRDefault="00630E07" w:rsidP="00DF0409">
      <w:pPr>
        <w:pStyle w:val="SectionBody"/>
        <w:rPr>
          <w:rFonts w:cs="Times New Roman"/>
        </w:rPr>
      </w:pPr>
      <w:r w:rsidRPr="00007E34">
        <w:rPr>
          <w:rFonts w:cs="Times New Roman"/>
        </w:rPr>
        <w:t>(1) An area of West Virginia cannot be practicably and economically served by a utility licensed to operate within the State of West Virginia;</w:t>
      </w:r>
    </w:p>
    <w:p w14:paraId="23EB56A4" w14:textId="77777777" w:rsidR="00630E07" w:rsidRPr="00007E34" w:rsidRDefault="00630E07" w:rsidP="00DF0409">
      <w:pPr>
        <w:pStyle w:val="SectionBody"/>
        <w:rPr>
          <w:rFonts w:cs="Times New Roman"/>
        </w:rPr>
      </w:pPr>
      <w:r w:rsidRPr="00007E34">
        <w:rPr>
          <w:rFonts w:cs="Times New Roman"/>
        </w:rPr>
        <w:t>(2) The area can be provided with utility service by a utility which operates in a state adjoining West Virginia;</w:t>
      </w:r>
    </w:p>
    <w:p w14:paraId="1667A26E" w14:textId="77777777" w:rsidR="00630E07" w:rsidRPr="00007E34" w:rsidRDefault="00630E07" w:rsidP="00DF0409">
      <w:pPr>
        <w:pStyle w:val="SectionBody"/>
      </w:pPr>
      <w:r w:rsidRPr="00007E34">
        <w:t>(3) The utility operating in the adjoining state is regulated by a regulatory agency or commission of the adjoining state; and</w:t>
      </w:r>
    </w:p>
    <w:p w14:paraId="20CF0910" w14:textId="77777777" w:rsidR="00630E07" w:rsidRPr="00007E34" w:rsidRDefault="00630E07" w:rsidP="00DF0409">
      <w:pPr>
        <w:pStyle w:val="SectionBody"/>
        <w:rPr>
          <w:rFonts w:cs="Times New Roman"/>
        </w:rPr>
      </w:pPr>
      <w:r w:rsidRPr="00007E34">
        <w:rPr>
          <w:rFonts w:cs="Times New Roman"/>
        </w:rPr>
        <w:t>(4) The number of customers to be served is not substantial. The rates the out-of-state utility charges West Virginia customers shall be the same as the rate the utility may charge in the adjoining jurisdiction. The commission, in the case of any such utility, may revoke its waiver of jurisdiction for good cause.</w:t>
      </w:r>
    </w:p>
    <w:p w14:paraId="419B8002" w14:textId="77777777" w:rsidR="00630E07" w:rsidRPr="00007E34" w:rsidRDefault="00630E07" w:rsidP="00DF0409">
      <w:pPr>
        <w:pStyle w:val="SectionBody"/>
      </w:pPr>
      <w:r w:rsidRPr="00007E34">
        <w:t>(d) Any other provisions of this chapter to the contrary notwithstanding:</w:t>
      </w:r>
    </w:p>
    <w:p w14:paraId="058A945D" w14:textId="77777777" w:rsidR="00630E07" w:rsidRPr="00007E34" w:rsidRDefault="00630E07" w:rsidP="00DF0409">
      <w:pPr>
        <w:pStyle w:val="SectionBody"/>
        <w:rPr>
          <w:rFonts w:cs="Times New Roman"/>
        </w:rPr>
      </w:pPr>
      <w:r w:rsidRPr="00007E34">
        <w:rPr>
          <w:rFonts w:cs="Times New Roman"/>
        </w:rPr>
        <w:t>(1) An owner or operator of an electric generating facility located or to be located in this state that has been designated as an exempt wholesale generator under applicable federal law, or will be so designated prior to commercial operation of the facility, for which the facility the owner or operator holds a certificate of public convenience and necessity issued by the commission on or before July 1, 2003, is subject to §24-2-11c(e) through §24-2-11c(j) of this code as if the certificate of public convenience and necessity for the facility were a siting certificate issued under §24-2-11c of this code, and is not otherwise subject to the jurisdiction of the commission or to the provisions of this chapter with respect to the facility except for the making or constructing of a material modification thereof as provided in §24-2-1(d)(5) of this code.</w:t>
      </w:r>
    </w:p>
    <w:p w14:paraId="306A59C6" w14:textId="77777777" w:rsidR="00630E07" w:rsidRPr="00007E34" w:rsidRDefault="00630E07" w:rsidP="00DF0409">
      <w:pPr>
        <w:pStyle w:val="SectionBody"/>
        <w:rPr>
          <w:rFonts w:cs="Times New Roman"/>
        </w:rPr>
      </w:pPr>
      <w:r w:rsidRPr="00007E34">
        <w:rPr>
          <w:rFonts w:cs="Times New Roman"/>
        </w:rPr>
        <w:lastRenderedPageBreak/>
        <w:t>(2) Any person, corporation, or other entity that intends to construct or construct and operate an electric generating facility to be located in this state that has been designated as an exempt wholesale generator under applicable federal law, or will be designated prior to commercial operation of the facility, for which facility the owner or operator does not hold a certificate of public convenience and necessity issued by the commission on or before July 1, 2003, shall, prior to commencement of construction of the facility, obtain a siting certificate from the commission pursuant to the provisions of §24-2-11c of this code in lieu of a certificate of public convenience and necessity pursuant to the provisions of §24-2-11 of this code. An owner or operator of an electric generating facility as is described in this subdivision for which a siting certificate has been issued by the commission is subject to §24-2-11c(e) through §24-2-11c(j) of this code and is not otherwise subject to the jurisdiction of the commission or to the provisions of this chapter with respect to the facility except for the making or constructing of a material modification thereof as provided in §24-2-1(d)(5) of this code.</w:t>
      </w:r>
    </w:p>
    <w:p w14:paraId="7B02DE49" w14:textId="77777777" w:rsidR="00630E07" w:rsidRPr="00007E34" w:rsidRDefault="00630E07" w:rsidP="00DF0409">
      <w:pPr>
        <w:pStyle w:val="SectionBody"/>
        <w:rPr>
          <w:rFonts w:cs="Times New Roman"/>
        </w:rPr>
      </w:pPr>
      <w:r w:rsidRPr="00007E34">
        <w:rPr>
          <w:rFonts w:cs="Times New Roman"/>
        </w:rPr>
        <w:t>(3) An owner or operator of an electric generating facility located in this state that had not been designated as an exempt wholesale generator under applicable federal law prior to commercial operation of the facility that generates electric energy solely for sale at retail outside this state or solely for sale at wholesale in accordance with any applicable federal law that preempts state law or solely for both sales at retail and sales at wholesale and that had been constructed and had engaged in commercial operation on or before July 1, 2003, is not subject to the jurisdiction of the commission or to the provisions of this chapter with respect to the facility, regardless of whether the facility subsequent to its construction has been or will be designated as an exempt wholesale generator under applicable federal law:</w:t>
      </w:r>
      <w:r w:rsidRPr="00007E34">
        <w:rPr>
          <w:rFonts w:cs="Times New Roman"/>
          <w:i/>
        </w:rPr>
        <w:t xml:space="preserve"> Provided</w:t>
      </w:r>
      <w:r w:rsidRPr="00007E34">
        <w:rPr>
          <w:rFonts w:cs="Times New Roman"/>
        </w:rPr>
        <w:t>, That the owner or operator is subject to §24-2-1(d)(5) of this code if a material modification of the facility is made or constructed.</w:t>
      </w:r>
    </w:p>
    <w:p w14:paraId="3816A329" w14:textId="77777777" w:rsidR="00630E07" w:rsidRPr="00007E34" w:rsidRDefault="00630E07" w:rsidP="00DF0409">
      <w:pPr>
        <w:pStyle w:val="SectionBody"/>
        <w:rPr>
          <w:rFonts w:cs="Times New Roman"/>
        </w:rPr>
      </w:pPr>
      <w:r w:rsidRPr="00007E34">
        <w:rPr>
          <w:rFonts w:cs="Times New Roman"/>
        </w:rPr>
        <w:t xml:space="preserve">(4) Any person, corporation, or other entity that intends to construct or construct and operate an electric generating facility to be located in this state that has not been or will not be </w:t>
      </w:r>
      <w:r w:rsidRPr="00007E34">
        <w:rPr>
          <w:rFonts w:cs="Times New Roman"/>
        </w:rPr>
        <w:lastRenderedPageBreak/>
        <w:t>designated as an exempt wholesale generator under applicable federal law prior to commercial operation of the facility that will generate electric energy solely for sale at retail outside this state or solely for sale at wholesale in accordance with any applicable federal law that preempts state law or solely for both sales at retail and sales at wholesale and that had not been constructed and had not been engaged in commercial operation on or before July 1, 2003, shall, prior to commencement of construction of the facility, obtain a siting certificate from the commission pursuant to the provisions of §24-2-11c of this code in lieu of a certificate of public convenience and necessity pursuant to the provisions of §24-2-11 of this code. An owner or operator of an electric generating facility as is described in this subdivision for which a siting certificate has been issued by the commission is subject to §24-2-11c(e) through §24-2-11c(j) of this code, and is not otherwise subject to the jurisdiction of the commission or to the provisions of this chapter with respect to the facility except for the making or constructing of a material modification thereof as provided in §24-2-1(d)(5) of this code.</w:t>
      </w:r>
    </w:p>
    <w:p w14:paraId="577E337C" w14:textId="77777777" w:rsidR="00630E07" w:rsidRPr="00007E34" w:rsidRDefault="00630E07" w:rsidP="00DF0409">
      <w:pPr>
        <w:pStyle w:val="SectionBody"/>
        <w:rPr>
          <w:rFonts w:cs="Times New Roman"/>
        </w:rPr>
      </w:pPr>
      <w:r w:rsidRPr="00007E34">
        <w:rPr>
          <w:rFonts w:cs="Times New Roman"/>
        </w:rPr>
        <w:t>(5) An owner or operator of an electric generating facility described in this subsection shall, before making or constructing a material modification of the facility that is not within the terms of any certificate of public convenience and necessity or siting certificate previously issued for the facility or an earlier material modification thereof, obtain a siting certificate for the modification from the commission pursuant to the provisions of §24-2-11c of this code, in lieu of a certificate of public convenience and necessity for the modification pursuant to the provisions of §24-2-11 of this code and, except for the provisions of §24-2-11c of this code, is not otherwise subject to the jurisdiction of the commission or to the provisions of this chapter with respect to the modification.</w:t>
      </w:r>
    </w:p>
    <w:p w14:paraId="1F8A02DA" w14:textId="77777777" w:rsidR="00630E07" w:rsidRPr="00007E34" w:rsidRDefault="00630E07" w:rsidP="00DF0409">
      <w:pPr>
        <w:pStyle w:val="SectionBody"/>
        <w:rPr>
          <w:rFonts w:cs="Times New Roman"/>
        </w:rPr>
      </w:pPr>
      <w:r w:rsidRPr="00007E34">
        <w:rPr>
          <w:rFonts w:cs="Times New Roman"/>
        </w:rPr>
        <w:t xml:space="preserve">(6) The commission shall consider an application for a certificate of public convenience and necessity filed pursuant to §24-2-11 of this code, to construct an electric generating facility described in this subsection or to make or construct a material modification of the electric generating facility as an application for a siting certificate pursuant to §24-2-11c of this code if the </w:t>
      </w:r>
      <w:r w:rsidRPr="00007E34">
        <w:rPr>
          <w:rFonts w:cs="Times New Roman"/>
        </w:rPr>
        <w:lastRenderedPageBreak/>
        <w:t>application for the certificate of public convenience and necessity was filed with the commission prior to July 1, 2003, and if the commission has not issued a final order as of that date.</w:t>
      </w:r>
    </w:p>
    <w:p w14:paraId="0C9C20C4" w14:textId="77777777" w:rsidR="00630E07" w:rsidRPr="00007E34" w:rsidRDefault="00630E07" w:rsidP="00DF0409">
      <w:pPr>
        <w:pStyle w:val="SectionBody"/>
        <w:rPr>
          <w:rFonts w:cs="Times New Roman"/>
        </w:rPr>
      </w:pPr>
      <w:r w:rsidRPr="00007E34">
        <w:rPr>
          <w:rFonts w:cs="Times New Roman"/>
        </w:rPr>
        <w:t>(7) The limitations on the jurisdiction of the commission over, and on the applicability of the provisions of this chapter to, the owner or operator of an electric generating facility as imposed by and described in this subsection do not affect or limit the commission’s jurisdiction over contracts or arrangements between the owner or operator of the facility and any affiliated public utility subject to the provisions of this chapter.</w:t>
      </w:r>
    </w:p>
    <w:p w14:paraId="5CA1C230" w14:textId="77777777" w:rsidR="00630E07" w:rsidRPr="00007E34" w:rsidRDefault="00630E07" w:rsidP="00DF0409">
      <w:pPr>
        <w:pStyle w:val="SectionBody"/>
        <w:rPr>
          <w:rFonts w:cs="Times New Roman"/>
        </w:rPr>
      </w:pPr>
      <w:r w:rsidRPr="00007E34">
        <w:rPr>
          <w:rFonts w:cs="Times New Roman"/>
        </w:rPr>
        <w:t>(e) The commission does not have jurisdiction of Internet protocol-enabled service or voice-over Internet protocol-enabled service. As used in this subsection:</w:t>
      </w:r>
    </w:p>
    <w:p w14:paraId="44A3941D" w14:textId="77777777" w:rsidR="00630E07" w:rsidRPr="00007E34" w:rsidRDefault="00630E07" w:rsidP="00DF0409">
      <w:pPr>
        <w:pStyle w:val="SectionBody"/>
        <w:rPr>
          <w:rFonts w:cs="Times New Roman"/>
        </w:rPr>
      </w:pPr>
      <w:r w:rsidRPr="00007E34">
        <w:rPr>
          <w:rFonts w:cs="Times New Roman"/>
        </w:rPr>
        <w:t>(1) "Internet protocol-enabled service" means any service, capability, functionality, or application provided using Internet protocol, or any successor protocol, that enables an end user to send or receive a communication in Internet protocol format, or any successor format, regardless of whether the communication is voice, data, or video.</w:t>
      </w:r>
    </w:p>
    <w:p w14:paraId="5275ECDC" w14:textId="77777777" w:rsidR="00630E07" w:rsidRPr="00007E34" w:rsidRDefault="00630E07" w:rsidP="00DF0409">
      <w:pPr>
        <w:pStyle w:val="SectionBody"/>
        <w:rPr>
          <w:rFonts w:cs="Times New Roman"/>
        </w:rPr>
      </w:pPr>
      <w:r w:rsidRPr="00007E34">
        <w:rPr>
          <w:rFonts w:cs="Times New Roman"/>
        </w:rPr>
        <w:t>(2) "Voice-over Internet protocol service" means any service that:</w:t>
      </w:r>
    </w:p>
    <w:p w14:paraId="110C82F9" w14:textId="77777777" w:rsidR="00630E07" w:rsidRPr="00007E34" w:rsidRDefault="00630E07" w:rsidP="00DF0409">
      <w:pPr>
        <w:pStyle w:val="SectionBody"/>
        <w:rPr>
          <w:rFonts w:cs="Times New Roman"/>
        </w:rPr>
      </w:pPr>
      <w:r w:rsidRPr="00007E34">
        <w:rPr>
          <w:rFonts w:cs="Times New Roman"/>
        </w:rPr>
        <w:t>(i) Enables real-time, two-way voice communications that originate or terminate from the user’s location using Internet protocol or a successor protocol; and</w:t>
      </w:r>
    </w:p>
    <w:p w14:paraId="28095623" w14:textId="77777777" w:rsidR="00630E07" w:rsidRPr="00007E34" w:rsidRDefault="00630E07" w:rsidP="00DF0409">
      <w:pPr>
        <w:pStyle w:val="SectionBody"/>
        <w:rPr>
          <w:rFonts w:cs="Times New Roman"/>
        </w:rPr>
      </w:pPr>
      <w:r w:rsidRPr="00007E34">
        <w:rPr>
          <w:rFonts w:cs="Times New Roman"/>
        </w:rPr>
        <w:t>(ii) Uses a broadband connection from the user’s location.</w:t>
      </w:r>
    </w:p>
    <w:p w14:paraId="093A41BA" w14:textId="77777777" w:rsidR="00630E07" w:rsidRPr="00007E34" w:rsidRDefault="00630E07" w:rsidP="00DF0409">
      <w:pPr>
        <w:pStyle w:val="SectionBody"/>
        <w:rPr>
          <w:rFonts w:cs="Times New Roman"/>
        </w:rPr>
      </w:pPr>
      <w:r w:rsidRPr="00007E34">
        <w:rPr>
          <w:rFonts w:cs="Times New Roman"/>
        </w:rPr>
        <w:t>(3) The term "voice-over Internet protocol service" includes any service that permits users to receive calls that originate on the public-switched telephone network and to terminate calls on the public-switched telephone network.</w:t>
      </w:r>
    </w:p>
    <w:p w14:paraId="1AF83B37" w14:textId="77777777" w:rsidR="00630E07" w:rsidRPr="00007E34" w:rsidRDefault="00630E07" w:rsidP="00DF0409">
      <w:pPr>
        <w:pStyle w:val="SectionBody"/>
        <w:rPr>
          <w:rFonts w:cs="Times New Roman"/>
        </w:rPr>
      </w:pPr>
      <w:r w:rsidRPr="00007E34">
        <w:rPr>
          <w:rFonts w:cs="Times New Roman"/>
        </w:rPr>
        <w:t xml:space="preserve">(f) Notwithstanding any other provisions of this article, the commission does not have jurisdiction to review or approve any transaction involving a telephone company otherwise subject to §24-2-12 and §24-2-12a of this code, if all entities involved in the transaction are under common ownership. </w:t>
      </w:r>
    </w:p>
    <w:p w14:paraId="40045AC3" w14:textId="34CC61D2" w:rsidR="00630E07" w:rsidRPr="00007E34" w:rsidRDefault="00630E07" w:rsidP="00DF0409">
      <w:pPr>
        <w:pStyle w:val="SectionBody"/>
      </w:pPr>
      <w:r w:rsidRPr="00007E34">
        <w:t xml:space="preserve">(g) The Legislature finds that the rates, fees, charges, and ratemaking of municipal power systems are most fairly and effectively regulated by the local governing body. Therefore, </w:t>
      </w:r>
      <w:r w:rsidRPr="00007E34">
        <w:lastRenderedPageBreak/>
        <w:t>notwithstanding any other provisions of this article, the commission does not have jurisdiction over the setting or adjustment of rates, fees, and charges of municipal power systems. Further, the jurisdiction of the Public Service Commission over municipal power systems is limited to that granted specifically in this code</w:t>
      </w:r>
      <w:r w:rsidR="004461C3">
        <w:t>.</w:t>
      </w:r>
    </w:p>
    <w:bookmarkEnd w:id="0"/>
    <w:p w14:paraId="3FD9A506" w14:textId="7E0C7E44" w:rsidR="006865E9" w:rsidRPr="00007E34" w:rsidRDefault="006865E9" w:rsidP="00630E07">
      <w:pPr>
        <w:pStyle w:val="ArticleHeading"/>
        <w:rPr>
          <w:color w:val="auto"/>
        </w:rPr>
      </w:pPr>
    </w:p>
    <w:sectPr w:rsidR="006865E9" w:rsidRPr="00007E34" w:rsidSect="00DF0409">
      <w:type w:val="continuous"/>
      <w:pgSz w:w="12240" w:h="15840"/>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8B932" w14:textId="77777777" w:rsidR="00ED7C83" w:rsidRPr="00B844FE" w:rsidRDefault="00ED7C83" w:rsidP="00B844FE">
      <w:r>
        <w:separator/>
      </w:r>
    </w:p>
  </w:endnote>
  <w:endnote w:type="continuationSeparator" w:id="0">
    <w:p w14:paraId="45992693" w14:textId="77777777" w:rsidR="00ED7C83" w:rsidRPr="00B844FE" w:rsidRDefault="00ED7C8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F9D8B" w14:textId="77777777" w:rsidR="00630E07" w:rsidRDefault="00630E07" w:rsidP="003564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3FBBE27" w14:textId="77777777" w:rsidR="00630E07" w:rsidRDefault="00630E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3A173" w14:textId="77777777" w:rsidR="00630E07" w:rsidRDefault="00630E07" w:rsidP="003564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15582BC" w14:textId="77777777" w:rsidR="00630E07" w:rsidRDefault="00630E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3882D" w14:textId="77777777" w:rsidR="00ED7C83" w:rsidRPr="00B844FE" w:rsidRDefault="00ED7C83" w:rsidP="00B844FE">
      <w:r>
        <w:separator/>
      </w:r>
    </w:p>
  </w:footnote>
  <w:footnote w:type="continuationSeparator" w:id="0">
    <w:p w14:paraId="290CDEAD" w14:textId="77777777" w:rsidR="00ED7C83" w:rsidRPr="00B844FE" w:rsidRDefault="00ED7C8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07472" w14:textId="58E6F360" w:rsidR="00630E07" w:rsidRDefault="003977AD">
    <w:pPr>
      <w:pStyle w:val="Header"/>
    </w:pPr>
    <w:proofErr w:type="spellStart"/>
    <w:r>
      <w:t>Enr</w:t>
    </w:r>
    <w:proofErr w:type="spellEnd"/>
    <w:r>
      <w:t xml:space="preserve"> SB 544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19049629">
    <w:abstractNumId w:val="0"/>
  </w:num>
  <w:num w:numId="2" w16cid:durableId="61698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AB0"/>
    <w:rsid w:val="0000526A"/>
    <w:rsid w:val="00007E34"/>
    <w:rsid w:val="000526F5"/>
    <w:rsid w:val="00055426"/>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2D0DCE"/>
    <w:rsid w:val="00303684"/>
    <w:rsid w:val="003143F5"/>
    <w:rsid w:val="00314854"/>
    <w:rsid w:val="00324E33"/>
    <w:rsid w:val="00394191"/>
    <w:rsid w:val="003977AD"/>
    <w:rsid w:val="003C51CD"/>
    <w:rsid w:val="003C6034"/>
    <w:rsid w:val="00400B5C"/>
    <w:rsid w:val="004368E0"/>
    <w:rsid w:val="004461C3"/>
    <w:rsid w:val="004C13DD"/>
    <w:rsid w:val="004D3ABE"/>
    <w:rsid w:val="004E3441"/>
    <w:rsid w:val="004F26B9"/>
    <w:rsid w:val="00500579"/>
    <w:rsid w:val="00524370"/>
    <w:rsid w:val="005A5366"/>
    <w:rsid w:val="00630E07"/>
    <w:rsid w:val="006369EB"/>
    <w:rsid w:val="00637E73"/>
    <w:rsid w:val="00677426"/>
    <w:rsid w:val="006865E9"/>
    <w:rsid w:val="00686E9A"/>
    <w:rsid w:val="00691F3E"/>
    <w:rsid w:val="00694BFB"/>
    <w:rsid w:val="006A106B"/>
    <w:rsid w:val="006C523D"/>
    <w:rsid w:val="006D4036"/>
    <w:rsid w:val="007204C7"/>
    <w:rsid w:val="007A5259"/>
    <w:rsid w:val="007A7081"/>
    <w:rsid w:val="007D209D"/>
    <w:rsid w:val="007F1CF5"/>
    <w:rsid w:val="00806A0E"/>
    <w:rsid w:val="00834EDE"/>
    <w:rsid w:val="00860F68"/>
    <w:rsid w:val="008736AA"/>
    <w:rsid w:val="00895D44"/>
    <w:rsid w:val="008D275D"/>
    <w:rsid w:val="00902FE4"/>
    <w:rsid w:val="009453CA"/>
    <w:rsid w:val="00980327"/>
    <w:rsid w:val="00986478"/>
    <w:rsid w:val="009B17CE"/>
    <w:rsid w:val="009B5557"/>
    <w:rsid w:val="009B6E9A"/>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BF54C3"/>
    <w:rsid w:val="00C33014"/>
    <w:rsid w:val="00C33434"/>
    <w:rsid w:val="00C34869"/>
    <w:rsid w:val="00C42EB6"/>
    <w:rsid w:val="00C85096"/>
    <w:rsid w:val="00CB20EF"/>
    <w:rsid w:val="00CC1F3B"/>
    <w:rsid w:val="00CD12CB"/>
    <w:rsid w:val="00CD36CF"/>
    <w:rsid w:val="00CF1DCA"/>
    <w:rsid w:val="00D579FC"/>
    <w:rsid w:val="00D81C16"/>
    <w:rsid w:val="00D867A2"/>
    <w:rsid w:val="00DE526B"/>
    <w:rsid w:val="00DF199D"/>
    <w:rsid w:val="00E01542"/>
    <w:rsid w:val="00E365F1"/>
    <w:rsid w:val="00E62F48"/>
    <w:rsid w:val="00E831B3"/>
    <w:rsid w:val="00E95FBC"/>
    <w:rsid w:val="00EC5E63"/>
    <w:rsid w:val="00ED7C83"/>
    <w:rsid w:val="00EE70CB"/>
    <w:rsid w:val="00F41CA2"/>
    <w:rsid w:val="00F443C0"/>
    <w:rsid w:val="00F53D19"/>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23577"/>
  <w15:chartTrackingRefBased/>
  <w15:docId w15:val="{C37A13F5-D69F-4BBA-B3E1-1EE29EDDE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7"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6">
    <w:name w:val="heading 6"/>
    <w:basedOn w:val="Normal"/>
    <w:next w:val="Normal"/>
    <w:link w:val="Heading6Char"/>
    <w:uiPriority w:val="7"/>
    <w:qFormat/>
    <w:locked/>
    <w:rsid w:val="004F26B9"/>
    <w:pPr>
      <w:keepNext/>
      <w:keepLines/>
      <w:suppressLineNumbers/>
      <w:spacing w:before="160" w:after="200" w:line="240" w:lineRule="auto"/>
      <w:jc w:val="both"/>
      <w:outlineLvl w:val="5"/>
    </w:pPr>
    <w:rPr>
      <w:rFonts w:asciiTheme="majorHAnsi" w:eastAsiaTheme="majorEastAsia" w:hAnsiTheme="majorHAnsi" w:cstheme="majorBidi"/>
      <w:color w:val="C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677426"/>
    <w:rPr>
      <w:rFonts w:eastAsia="Calibri"/>
      <w:b/>
      <w:caps/>
      <w:color w:val="000000"/>
      <w:sz w:val="28"/>
    </w:rPr>
  </w:style>
  <w:style w:type="character" w:customStyle="1" w:styleId="ArticleHeadingChar">
    <w:name w:val="Article Heading Char"/>
    <w:link w:val="ArticleHeading"/>
    <w:rsid w:val="00677426"/>
    <w:rPr>
      <w:rFonts w:eastAsia="Calibri"/>
      <w:b/>
      <w:caps/>
      <w:color w:val="000000"/>
      <w:sz w:val="24"/>
    </w:rPr>
  </w:style>
  <w:style w:type="character" w:customStyle="1" w:styleId="SectionBodyChar">
    <w:name w:val="Section Body Char"/>
    <w:link w:val="SectionBody"/>
    <w:rsid w:val="00677426"/>
    <w:rPr>
      <w:rFonts w:eastAsia="Calibri"/>
      <w:color w:val="000000"/>
    </w:rPr>
  </w:style>
  <w:style w:type="character" w:customStyle="1" w:styleId="Heading6Char">
    <w:name w:val="Heading 6 Char"/>
    <w:basedOn w:val="DefaultParagraphFont"/>
    <w:link w:val="Heading6"/>
    <w:uiPriority w:val="7"/>
    <w:rsid w:val="004F26B9"/>
    <w:rPr>
      <w:rFonts w:asciiTheme="majorHAnsi" w:eastAsiaTheme="majorEastAsia" w:hAnsiTheme="majorHAnsi" w:cstheme="majorBidi"/>
      <w:color w:val="C00000"/>
    </w:rPr>
  </w:style>
  <w:style w:type="character" w:styleId="PageNumber">
    <w:name w:val="page number"/>
    <w:basedOn w:val="DefaultParagraphFont"/>
    <w:uiPriority w:val="99"/>
    <w:semiHidden/>
    <w:unhideWhenUsed/>
    <w:locked/>
    <w:rsid w:val="00630E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B598C49C61403C86FFFEA29F21FA00"/>
        <w:category>
          <w:name w:val="General"/>
          <w:gallery w:val="placeholder"/>
        </w:category>
        <w:types>
          <w:type w:val="bbPlcHdr"/>
        </w:types>
        <w:behaviors>
          <w:behavior w:val="content"/>
        </w:behaviors>
        <w:guid w:val="{8A7B6E85-9953-4E16-A834-29F6FDB6798A}"/>
      </w:docPartPr>
      <w:docPartBody>
        <w:p w:rsidR="003D093E" w:rsidRDefault="003D093E">
          <w:pPr>
            <w:pStyle w:val="04B598C49C61403C86FFFEA29F21FA00"/>
          </w:pPr>
          <w:r w:rsidRPr="00B844FE">
            <w:t>Prefix Text</w:t>
          </w:r>
        </w:p>
      </w:docPartBody>
    </w:docPart>
    <w:docPart>
      <w:docPartPr>
        <w:name w:val="475798A118164D99BFFCB2CEF98520A3"/>
        <w:category>
          <w:name w:val="General"/>
          <w:gallery w:val="placeholder"/>
        </w:category>
        <w:types>
          <w:type w:val="bbPlcHdr"/>
        </w:types>
        <w:behaviors>
          <w:behavior w:val="content"/>
        </w:behaviors>
        <w:guid w:val="{44DA3CA5-D125-4A71-B403-305797DE05FD}"/>
      </w:docPartPr>
      <w:docPartBody>
        <w:p w:rsidR="003D093E" w:rsidRDefault="003D093E">
          <w:pPr>
            <w:pStyle w:val="475798A118164D99BFFCB2CEF98520A3"/>
          </w:pPr>
          <w:r w:rsidRPr="00B844FE">
            <w:t>[Type here]</w:t>
          </w:r>
        </w:p>
      </w:docPartBody>
    </w:docPart>
    <w:docPart>
      <w:docPartPr>
        <w:name w:val="F1A540EB3CB44D779B9139D560498C50"/>
        <w:category>
          <w:name w:val="General"/>
          <w:gallery w:val="placeholder"/>
        </w:category>
        <w:types>
          <w:type w:val="bbPlcHdr"/>
        </w:types>
        <w:behaviors>
          <w:behavior w:val="content"/>
        </w:behaviors>
        <w:guid w:val="{59307859-3F72-4B86-B09D-665CD62BBB9D}"/>
      </w:docPartPr>
      <w:docPartBody>
        <w:p w:rsidR="003D093E" w:rsidRDefault="003D093E">
          <w:pPr>
            <w:pStyle w:val="F1A540EB3CB44D779B9139D560498C50"/>
          </w:pPr>
          <w:r w:rsidRPr="00B844FE">
            <w:t>Number</w:t>
          </w:r>
        </w:p>
      </w:docPartBody>
    </w:docPart>
    <w:docPart>
      <w:docPartPr>
        <w:name w:val="C2B2DA62FBA64612A98FE25BF3FD84BE"/>
        <w:category>
          <w:name w:val="General"/>
          <w:gallery w:val="placeholder"/>
        </w:category>
        <w:types>
          <w:type w:val="bbPlcHdr"/>
        </w:types>
        <w:behaviors>
          <w:behavior w:val="content"/>
        </w:behaviors>
        <w:guid w:val="{1B3382A8-0C9C-4D2E-9DB2-1351565993C8}"/>
      </w:docPartPr>
      <w:docPartBody>
        <w:p w:rsidR="003D093E" w:rsidRDefault="003D093E">
          <w:pPr>
            <w:pStyle w:val="C2B2DA62FBA64612A98FE25BF3FD84BE"/>
          </w:pPr>
          <w:r w:rsidRPr="00B844FE">
            <w:t>Enter Sponsors Here</w:t>
          </w:r>
        </w:p>
      </w:docPartBody>
    </w:docPart>
    <w:docPart>
      <w:docPartPr>
        <w:name w:val="44374541FCF447B2991C866286BAC5BC"/>
        <w:category>
          <w:name w:val="General"/>
          <w:gallery w:val="placeholder"/>
        </w:category>
        <w:types>
          <w:type w:val="bbPlcHdr"/>
        </w:types>
        <w:behaviors>
          <w:behavior w:val="content"/>
        </w:behaviors>
        <w:guid w:val="{9972D64E-CAB6-4F19-9C3D-4CD56EA600D9}"/>
      </w:docPartPr>
      <w:docPartBody>
        <w:p w:rsidR="003D093E" w:rsidRDefault="003D093E">
          <w:pPr>
            <w:pStyle w:val="44374541FCF447B2991C866286BAC5B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93E"/>
    <w:rsid w:val="003D093E"/>
    <w:rsid w:val="0069371A"/>
    <w:rsid w:val="007D01EF"/>
    <w:rsid w:val="00C04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B598C49C61403C86FFFEA29F21FA00">
    <w:name w:val="04B598C49C61403C86FFFEA29F21FA00"/>
  </w:style>
  <w:style w:type="paragraph" w:customStyle="1" w:styleId="475798A118164D99BFFCB2CEF98520A3">
    <w:name w:val="475798A118164D99BFFCB2CEF98520A3"/>
  </w:style>
  <w:style w:type="paragraph" w:customStyle="1" w:styleId="F1A540EB3CB44D779B9139D560498C50">
    <w:name w:val="F1A540EB3CB44D779B9139D560498C50"/>
  </w:style>
  <w:style w:type="paragraph" w:customStyle="1" w:styleId="C2B2DA62FBA64612A98FE25BF3FD84BE">
    <w:name w:val="C2B2DA62FBA64612A98FE25BF3FD84BE"/>
  </w:style>
  <w:style w:type="character" w:styleId="PlaceholderText">
    <w:name w:val="Placeholder Text"/>
    <w:basedOn w:val="DefaultParagraphFont"/>
    <w:uiPriority w:val="99"/>
    <w:semiHidden/>
    <w:rsid w:val="00C04B5B"/>
    <w:rPr>
      <w:color w:val="808080"/>
    </w:rPr>
  </w:style>
  <w:style w:type="paragraph" w:customStyle="1" w:styleId="44374541FCF447B2991C866286BAC5BC">
    <w:name w:val="44374541FCF447B2991C866286BAC5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10</Pages>
  <Words>2673</Words>
  <Characters>15238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Jocelyn Ellis</cp:lastModifiedBy>
  <cp:revision>17</cp:revision>
  <dcterms:created xsi:type="dcterms:W3CDTF">2023-01-27T14:45:00Z</dcterms:created>
  <dcterms:modified xsi:type="dcterms:W3CDTF">2023-03-15T13:09:00Z</dcterms:modified>
</cp:coreProperties>
</file>