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72C1" w14:textId="77777777" w:rsidR="00FE067E" w:rsidRDefault="00CD36CF" w:rsidP="00EF6030">
      <w:pPr>
        <w:pStyle w:val="TitlePageOrigin"/>
      </w:pPr>
      <w:r>
        <w:t>WEST virginia legislature</w:t>
      </w:r>
    </w:p>
    <w:p w14:paraId="188C0851" w14:textId="77777777" w:rsidR="00CD36CF" w:rsidRDefault="00CD36CF" w:rsidP="00EF6030">
      <w:pPr>
        <w:pStyle w:val="TitlePageSession"/>
      </w:pPr>
      <w:r>
        <w:t>20</w:t>
      </w:r>
      <w:r w:rsidR="006565E8">
        <w:t>2</w:t>
      </w:r>
      <w:r w:rsidR="00410475">
        <w:t>3</w:t>
      </w:r>
      <w:r>
        <w:t xml:space="preserve"> regular session</w:t>
      </w:r>
    </w:p>
    <w:p w14:paraId="4F27D9BA" w14:textId="77777777" w:rsidR="00CD36CF" w:rsidRDefault="00A35EC4" w:rsidP="00EF6030">
      <w:pPr>
        <w:pStyle w:val="TitlePageBillPrefix"/>
      </w:pPr>
      <w:sdt>
        <w:sdtPr>
          <w:tag w:val="IntroDate"/>
          <w:id w:val="-1236936958"/>
          <w:placeholder>
            <w:docPart w:val="6C2A3B4DC2EA40CFB2D2FFF139EF5A8C"/>
          </w:placeholder>
          <w:text/>
        </w:sdtPr>
        <w:sdtEndPr/>
        <w:sdtContent>
          <w:r w:rsidR="00AC3B58">
            <w:t>Committee Substitute</w:t>
          </w:r>
        </w:sdtContent>
      </w:sdt>
    </w:p>
    <w:p w14:paraId="46D8874B" w14:textId="77777777" w:rsidR="00AC3B58" w:rsidRPr="00AC3B58" w:rsidRDefault="00AC3B58" w:rsidP="00EF6030">
      <w:pPr>
        <w:pStyle w:val="TitlePageBillPrefix"/>
      </w:pPr>
      <w:r>
        <w:t>for</w:t>
      </w:r>
    </w:p>
    <w:p w14:paraId="7BCB1019" w14:textId="77777777" w:rsidR="00CD36CF" w:rsidRDefault="00A35EC4" w:rsidP="00EF6030">
      <w:pPr>
        <w:pStyle w:val="BillNumber"/>
      </w:pPr>
      <w:sdt>
        <w:sdtPr>
          <w:tag w:val="Chamber"/>
          <w:id w:val="893011969"/>
          <w:lock w:val="sdtLocked"/>
          <w:placeholder>
            <w:docPart w:val="8AE219EEF224426981392A91D619F7E7"/>
          </w:placeholder>
          <w:dropDownList>
            <w:listItem w:displayText="House" w:value="House"/>
            <w:listItem w:displayText="Senate" w:value="Senate"/>
          </w:dropDownList>
        </w:sdtPr>
        <w:sdtEndPr/>
        <w:sdtContent>
          <w:r w:rsidR="00433472">
            <w:t>Senate</w:t>
          </w:r>
        </w:sdtContent>
      </w:sdt>
      <w:r w:rsidR="00303684">
        <w:t xml:space="preserve"> </w:t>
      </w:r>
      <w:r w:rsidR="00CD36CF">
        <w:t xml:space="preserve">Bill </w:t>
      </w:r>
      <w:sdt>
        <w:sdtPr>
          <w:tag w:val="BNum"/>
          <w:id w:val="1645317809"/>
          <w:lock w:val="sdtLocked"/>
          <w:placeholder>
            <w:docPart w:val="5902D908E1684733B9BEEF3C0C8F1534"/>
          </w:placeholder>
          <w:text/>
        </w:sdtPr>
        <w:sdtEndPr/>
        <w:sdtContent>
          <w:r w:rsidR="00433472" w:rsidRPr="00433472">
            <w:t>247</w:t>
          </w:r>
        </w:sdtContent>
      </w:sdt>
    </w:p>
    <w:p w14:paraId="383596B4" w14:textId="77777777" w:rsidR="00433472" w:rsidRDefault="00433472" w:rsidP="00EF6030">
      <w:pPr>
        <w:pStyle w:val="References"/>
        <w:rPr>
          <w:smallCaps/>
        </w:rPr>
      </w:pPr>
      <w:r>
        <w:rPr>
          <w:smallCaps/>
        </w:rPr>
        <w:t>By Senator Woodrum</w:t>
      </w:r>
    </w:p>
    <w:p w14:paraId="7AE34889" w14:textId="5A97362F" w:rsidR="00433472" w:rsidRDefault="00CD36CF" w:rsidP="00EF6030">
      <w:pPr>
        <w:pStyle w:val="References"/>
      </w:pPr>
      <w:r>
        <w:t>[</w:t>
      </w:r>
      <w:r w:rsidR="00002112">
        <w:t xml:space="preserve">Originating in the Committee on </w:t>
      </w:r>
      <w:sdt>
        <w:sdtPr>
          <w:tag w:val="References"/>
          <w:id w:val="-1043047873"/>
          <w:placeholder>
            <w:docPart w:val="68F6264025AF42B98F29005DA9A92DF2"/>
          </w:placeholder>
          <w:text w:multiLine="1"/>
        </w:sdtPr>
        <w:sdtEndPr/>
        <w:sdtContent>
          <w:r w:rsidR="000450FE">
            <w:t>Judiciary</w:t>
          </w:r>
        </w:sdtContent>
      </w:sdt>
      <w:r w:rsidR="00002112">
        <w:t xml:space="preserve">; reported on </w:t>
      </w:r>
      <w:sdt>
        <w:sdtPr>
          <w:id w:val="-32107996"/>
          <w:placeholder>
            <w:docPart w:val="E73A1E11839C44A9AEE390290CCD520D"/>
          </w:placeholder>
          <w:text/>
        </w:sdtPr>
        <w:sdtEndPr/>
        <w:sdtContent>
          <w:r w:rsidR="00B26097">
            <w:t xml:space="preserve">February </w:t>
          </w:r>
          <w:r w:rsidR="00A35EC4">
            <w:t>02</w:t>
          </w:r>
          <w:r w:rsidR="00B26097">
            <w:t>, 2023</w:t>
          </w:r>
        </w:sdtContent>
      </w:sdt>
      <w:r>
        <w:t>]</w:t>
      </w:r>
    </w:p>
    <w:p w14:paraId="7C62A51B" w14:textId="77777777" w:rsidR="00433472" w:rsidRDefault="00433472" w:rsidP="00433472">
      <w:pPr>
        <w:pStyle w:val="TitlePageOrigin"/>
      </w:pPr>
    </w:p>
    <w:p w14:paraId="6F64E807" w14:textId="77777777" w:rsidR="00433472" w:rsidRPr="00AE2CB5" w:rsidRDefault="00433472" w:rsidP="00433472">
      <w:pPr>
        <w:pStyle w:val="TitlePageOrigin"/>
        <w:rPr>
          <w:color w:val="auto"/>
        </w:rPr>
      </w:pPr>
    </w:p>
    <w:p w14:paraId="0D26520D" w14:textId="77777777" w:rsidR="00433472" w:rsidRPr="00AE2CB5" w:rsidRDefault="00433472" w:rsidP="00433472">
      <w:pPr>
        <w:pStyle w:val="TitleSection"/>
        <w:rPr>
          <w:color w:val="auto"/>
        </w:rPr>
      </w:pPr>
      <w:r w:rsidRPr="00AE2CB5">
        <w:rPr>
          <w:color w:val="auto"/>
        </w:rPr>
        <w:lastRenderedPageBreak/>
        <w:t>A BILL to amend and reenact §30-1-9 of the Code of West Virginia, 1931, as amended, relating to making administrative appeals and judicial review of board action subject to provisions of</w:t>
      </w:r>
      <w:r>
        <w:rPr>
          <w:color w:val="auto"/>
        </w:rPr>
        <w:t xml:space="preserve"> the </w:t>
      </w:r>
      <w:r w:rsidRPr="00AE2CB5">
        <w:rPr>
          <w:color w:val="auto"/>
        </w:rPr>
        <w:t>Administrative Procedures Act.</w:t>
      </w:r>
    </w:p>
    <w:p w14:paraId="122679CB" w14:textId="77777777" w:rsidR="00433472" w:rsidRPr="00AE2CB5" w:rsidRDefault="00433472" w:rsidP="00433472">
      <w:pPr>
        <w:pStyle w:val="EnactingClause"/>
        <w:rPr>
          <w:color w:val="auto"/>
        </w:rPr>
        <w:sectPr w:rsidR="00433472" w:rsidRPr="00AE2CB5" w:rsidSect="004334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E2CB5">
        <w:rPr>
          <w:color w:val="auto"/>
        </w:rPr>
        <w:t>Be it enacted by the Legislature of West Virginia:</w:t>
      </w:r>
    </w:p>
    <w:p w14:paraId="691B15A5" w14:textId="77777777" w:rsidR="00433472" w:rsidRPr="00AE2CB5" w:rsidRDefault="00433472" w:rsidP="00433472">
      <w:pPr>
        <w:pStyle w:val="ArticleHeading"/>
        <w:rPr>
          <w:color w:val="auto"/>
        </w:rPr>
        <w:sectPr w:rsidR="00433472" w:rsidRPr="00AE2CB5" w:rsidSect="00F30FA8">
          <w:type w:val="continuous"/>
          <w:pgSz w:w="12240" w:h="15840" w:code="1"/>
          <w:pgMar w:top="1440" w:right="1440" w:bottom="1440" w:left="1440" w:header="720" w:footer="720" w:gutter="0"/>
          <w:lnNumType w:countBy="1" w:restart="newSection"/>
          <w:cols w:space="720"/>
          <w:titlePg/>
          <w:docGrid w:linePitch="360"/>
        </w:sectPr>
      </w:pPr>
      <w:r w:rsidRPr="00AE2CB5">
        <w:rPr>
          <w:color w:val="auto"/>
        </w:rPr>
        <w:t>ARTICLE 1. GENERAL PROVISIONS APPLICABLE TO ALL STATE BOARDS OF EXAMINATION OR REGISTRATION REFERRED TO IN CHAPTER.</w:t>
      </w:r>
    </w:p>
    <w:p w14:paraId="4F1A3DEC" w14:textId="77777777" w:rsidR="00433472" w:rsidRPr="00AE2CB5" w:rsidRDefault="00433472" w:rsidP="00433472">
      <w:pPr>
        <w:pStyle w:val="SectionHeading"/>
        <w:ind w:left="1170" w:hanging="1170"/>
        <w:rPr>
          <w:color w:val="auto"/>
          <w:u w:val="single"/>
        </w:rPr>
      </w:pPr>
      <w:r w:rsidRPr="00AE2CB5">
        <w:rPr>
          <w:color w:val="auto"/>
        </w:rPr>
        <w:t xml:space="preserve">§30-1-9. </w:t>
      </w:r>
      <w:r w:rsidRPr="00AE2CB5">
        <w:rPr>
          <w:strike/>
          <w:color w:val="auto"/>
        </w:rPr>
        <w:t>Review by circuit court and supreme court of board's refusal to issue; suspension or revocation of license or registration</w:t>
      </w:r>
      <w:r w:rsidRPr="00AE2CB5">
        <w:rPr>
          <w:color w:val="auto"/>
        </w:rPr>
        <w:t xml:space="preserve"> </w:t>
      </w:r>
      <w:r w:rsidRPr="00AE2CB5">
        <w:rPr>
          <w:color w:val="auto"/>
          <w:u w:val="single"/>
        </w:rPr>
        <w:t>Administrative appeal of board action; judicial review.</w:t>
      </w:r>
    </w:p>
    <w:p w14:paraId="318D60CE" w14:textId="0F23A8A9" w:rsidR="004E11C5" w:rsidRDefault="004E11C5" w:rsidP="00433472">
      <w:pPr>
        <w:pStyle w:val="SectionBody"/>
        <w:rPr>
          <w:color w:val="auto"/>
        </w:rPr>
      </w:pPr>
      <w:r>
        <w:rPr>
          <w:color w:val="auto"/>
        </w:rPr>
        <w:t xml:space="preserve">(a) </w:t>
      </w:r>
      <w:r w:rsidR="00433472" w:rsidRPr="00AE2CB5">
        <w:rPr>
          <w:color w:val="auto"/>
        </w:rPr>
        <w:t xml:space="preserve">A person, not an applicant for or holder of a license to practice law, who has been </w:t>
      </w:r>
      <w:r w:rsidR="00433472" w:rsidRPr="00AE2CB5">
        <w:rPr>
          <w:strike/>
          <w:color w:val="auto"/>
        </w:rPr>
        <w:t>refused</w:t>
      </w:r>
      <w:r w:rsidR="00433472" w:rsidRPr="00AE2CB5">
        <w:rPr>
          <w:color w:val="auto"/>
        </w:rPr>
        <w:t xml:space="preserve">  </w:t>
      </w:r>
      <w:r w:rsidR="00433472" w:rsidRPr="00AE2CB5">
        <w:rPr>
          <w:color w:val="auto"/>
          <w:u w:val="single"/>
        </w:rPr>
        <w:t>denied</w:t>
      </w:r>
      <w:r w:rsidR="00433472" w:rsidRPr="00AE2CB5">
        <w:rPr>
          <w:color w:val="auto"/>
        </w:rPr>
        <w:t xml:space="preserve"> a license or registration</w:t>
      </w:r>
      <w:r w:rsidR="008A7FAA">
        <w:rPr>
          <w:color w:val="auto"/>
        </w:rPr>
        <w:t>;</w:t>
      </w:r>
      <w:r w:rsidR="00433472" w:rsidRPr="00AE2CB5">
        <w:rPr>
          <w:color w:val="auto"/>
        </w:rPr>
        <w:t xml:space="preserve"> </w:t>
      </w:r>
      <w:r w:rsidR="00433472" w:rsidRPr="00AE2CB5">
        <w:rPr>
          <w:strike/>
          <w:color w:val="auto"/>
        </w:rPr>
        <w:t>for any cause other than failure to pass the examination given by the board, or</w:t>
      </w:r>
      <w:r w:rsidR="00433472" w:rsidRPr="00AE2CB5">
        <w:rPr>
          <w:color w:val="auto"/>
        </w:rPr>
        <w:t xml:space="preserve"> whose certificate, license, registration, or authority has been suspended or revoked; </w:t>
      </w:r>
      <w:r w:rsidR="000450FE" w:rsidRPr="000450FE">
        <w:rPr>
          <w:color w:val="auto"/>
          <w:u w:val="single"/>
        </w:rPr>
        <w:t xml:space="preserve">or </w:t>
      </w:r>
      <w:r w:rsidR="00433472" w:rsidRPr="00AE2CB5">
        <w:rPr>
          <w:color w:val="auto"/>
          <w:u w:val="single"/>
        </w:rPr>
        <w:t xml:space="preserve">against whom disciplinary action has been </w:t>
      </w:r>
      <w:r w:rsidR="008A7FAA">
        <w:rPr>
          <w:color w:val="auto"/>
          <w:u w:val="single"/>
        </w:rPr>
        <w:t xml:space="preserve">otherwise </w:t>
      </w:r>
      <w:r w:rsidR="00433472" w:rsidRPr="00AE2CB5">
        <w:rPr>
          <w:color w:val="auto"/>
          <w:u w:val="single"/>
        </w:rPr>
        <w:t>imposed</w:t>
      </w:r>
      <w:r w:rsidR="00433472" w:rsidRPr="00AE2CB5">
        <w:rPr>
          <w:color w:val="auto"/>
        </w:rPr>
        <w:t xml:space="preserve"> may</w:t>
      </w:r>
      <w:r>
        <w:rPr>
          <w:color w:val="auto"/>
        </w:rPr>
        <w:t xml:space="preserve"> </w:t>
      </w:r>
      <w:r w:rsidR="00433472" w:rsidRPr="004E11C5">
        <w:rPr>
          <w:strike/>
          <w:color w:val="auto"/>
        </w:rPr>
        <w:t xml:space="preserve">within 30 days after the decision of the board, present his </w:t>
      </w:r>
      <w:r w:rsidR="00433472" w:rsidRPr="00AE2CB5">
        <w:rPr>
          <w:strike/>
          <w:color w:val="auto"/>
        </w:rPr>
        <w:t>petition</w:t>
      </w:r>
      <w:r w:rsidRPr="004E11C5">
        <w:rPr>
          <w:strike/>
          <w:color w:val="auto"/>
        </w:rPr>
        <w:t>,</w:t>
      </w:r>
      <w:r w:rsidR="00433472" w:rsidRPr="004E11C5">
        <w:rPr>
          <w:strike/>
          <w:color w:val="auto"/>
        </w:rPr>
        <w:t xml:space="preserve"> in writing</w:t>
      </w:r>
      <w:r w:rsidR="00433472" w:rsidRPr="00AE2CB5">
        <w:rPr>
          <w:color w:val="auto"/>
        </w:rPr>
        <w:t xml:space="preserve"> </w:t>
      </w:r>
      <w:r w:rsidR="00433472" w:rsidRPr="001C19F9">
        <w:rPr>
          <w:strike/>
          <w:color w:val="auto"/>
        </w:rPr>
        <w:t>to the</w:t>
      </w:r>
      <w:r w:rsidR="00433472" w:rsidRPr="00AE2CB5">
        <w:rPr>
          <w:color w:val="auto"/>
        </w:rPr>
        <w:t xml:space="preserve"> </w:t>
      </w:r>
      <w:r w:rsidR="00433472" w:rsidRPr="00AE2CB5">
        <w:rPr>
          <w:strike/>
          <w:color w:val="auto"/>
        </w:rPr>
        <w:t xml:space="preserve">circuit court of the county in which such person resides, or to the judge of such court in </w:t>
      </w:r>
      <w:r w:rsidR="00433472" w:rsidRPr="004E11C5">
        <w:rPr>
          <w:strike/>
          <w:color w:val="auto"/>
        </w:rPr>
        <w:t>vacation praying for the review and reversal of</w:t>
      </w:r>
      <w:r w:rsidR="00433472" w:rsidRPr="00AE2CB5">
        <w:rPr>
          <w:color w:val="auto"/>
        </w:rPr>
        <w:t xml:space="preserve"> </w:t>
      </w:r>
      <w:r w:rsidR="00433472" w:rsidRPr="00AE2CB5">
        <w:rPr>
          <w:strike/>
          <w:color w:val="auto"/>
        </w:rPr>
        <w:t xml:space="preserve">such </w:t>
      </w:r>
      <w:r w:rsidR="00433472" w:rsidRPr="004E11C5">
        <w:rPr>
          <w:strike/>
          <w:color w:val="auto"/>
        </w:rPr>
        <w:t>decision. Before</w:t>
      </w:r>
      <w:r w:rsidR="00433472" w:rsidRPr="00AE2CB5">
        <w:rPr>
          <w:strike/>
          <w:color w:val="auto"/>
        </w:rPr>
        <w:t xml:space="preserve"> presenting his petition to the court or judge, the petitioner shall mail copies thereof to the president and secretary, respectively, of the board. Upon receipt of such copy the secretary shall forthwith transmit to the clerk of such court the record of the proceeding before the board. The court or judge shall fix a time for the review of said proceeding at his earliest convenience. Notice in writing of the time and place of such hearing shall be given to the president and secretary of the board at least ten days before the date set therefor. The court or judge shall, without a jury, hear and determine the case upon the record of the proceedings before the board. The court or judge may enter an order affirming, revising or reversing the decision of the board if it appears that the decision was clearly wrong. Prior to the entry of such order, no order shall be made or entered by the court to stay or supersede any suspension, revocation or cancellation of </w:t>
      </w:r>
      <w:r w:rsidR="00433472" w:rsidRPr="00AE2CB5">
        <w:rPr>
          <w:strike/>
          <w:color w:val="auto"/>
        </w:rPr>
        <w:lastRenderedPageBreak/>
        <w:t>any such certificate, license, registration or authority. The judgment of the circuit court may be reviewed upon appeal in the Supreme Court of Appeals</w:t>
      </w:r>
      <w:r w:rsidRPr="004E11C5">
        <w:rPr>
          <w:color w:val="auto"/>
        </w:rPr>
        <w:t xml:space="preserve"> </w:t>
      </w:r>
      <w:r>
        <w:rPr>
          <w:color w:val="auto"/>
          <w:u w:val="single"/>
        </w:rPr>
        <w:t>appeal</w:t>
      </w:r>
      <w:r w:rsidRPr="00821FC2">
        <w:rPr>
          <w:color w:val="auto"/>
          <w:u w:val="single"/>
        </w:rPr>
        <w:t xml:space="preserve"> the</w:t>
      </w:r>
      <w:r>
        <w:rPr>
          <w:color w:val="auto"/>
          <w:u w:val="single"/>
        </w:rPr>
        <w:t xml:space="preserve"> final decision of the board.</w:t>
      </w:r>
      <w:r w:rsidRPr="00AE2CB5">
        <w:rPr>
          <w:color w:val="auto"/>
        </w:rPr>
        <w:t xml:space="preserve"> </w:t>
      </w:r>
      <w:r w:rsidR="00433472" w:rsidRPr="00AE2CB5">
        <w:rPr>
          <w:color w:val="auto"/>
        </w:rPr>
        <w:t xml:space="preserve"> </w:t>
      </w:r>
    </w:p>
    <w:p w14:paraId="3CC65E8D" w14:textId="5FF838BA" w:rsidR="00433472" w:rsidRPr="00AE2CB5" w:rsidRDefault="004E11C5" w:rsidP="00433472">
      <w:pPr>
        <w:pStyle w:val="SectionBody"/>
        <w:rPr>
          <w:color w:val="auto"/>
          <w:u w:val="single"/>
        </w:rPr>
        <w:sectPr w:rsidR="00433472" w:rsidRPr="00AE2CB5" w:rsidSect="00433472">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(b) </w:t>
      </w:r>
      <w:r w:rsidR="00433472" w:rsidRPr="00AE2CB5">
        <w:rPr>
          <w:color w:val="auto"/>
          <w:u w:val="single"/>
        </w:rPr>
        <w:t xml:space="preserve">All proceedings in the appeal of the board’s action, and any judicial review thereof, shall be conducted in accordance with the provisions of §29A-5-1 </w:t>
      </w:r>
      <w:r w:rsidR="00433472" w:rsidRPr="00AE2CB5">
        <w:rPr>
          <w:rFonts w:cstheme="minorHAnsi"/>
          <w:i/>
          <w:iCs/>
          <w:color w:val="auto"/>
          <w:u w:val="single"/>
        </w:rPr>
        <w:t>et seq</w:t>
      </w:r>
      <w:r w:rsidR="00433472" w:rsidRPr="00AE2CB5">
        <w:rPr>
          <w:rFonts w:cstheme="minorHAnsi"/>
          <w:color w:val="auto"/>
          <w:u w:val="single"/>
        </w:rPr>
        <w:t>. of this code</w:t>
      </w:r>
      <w:r w:rsidR="00433472" w:rsidRPr="00AE2CB5">
        <w:rPr>
          <w:rFonts w:cstheme="minorHAnsi"/>
          <w:color w:val="auto"/>
          <w:sz w:val="24"/>
          <w:szCs w:val="24"/>
          <w:u w:val="single"/>
        </w:rPr>
        <w:t xml:space="preserve"> </w:t>
      </w:r>
      <w:r w:rsidR="00433472" w:rsidRPr="00AE2CB5">
        <w:rPr>
          <w:rFonts w:cstheme="minorHAnsi"/>
          <w:color w:val="auto"/>
          <w:u w:val="single"/>
        </w:rPr>
        <w:t>and any</w:t>
      </w:r>
      <w:r w:rsidR="00433472" w:rsidRPr="00AE2CB5">
        <w:rPr>
          <w:rFonts w:cstheme="minorHAnsi"/>
          <w:color w:val="auto"/>
          <w:sz w:val="24"/>
          <w:szCs w:val="24"/>
          <w:u w:val="single"/>
        </w:rPr>
        <w:t xml:space="preserve"> </w:t>
      </w:r>
      <w:r w:rsidR="00433472" w:rsidRPr="00AE2CB5">
        <w:rPr>
          <w:rFonts w:cstheme="minorHAnsi"/>
          <w:color w:val="auto"/>
          <w:u w:val="single"/>
        </w:rPr>
        <w:t>procedural rules adopted by the board pursuant thereto.</w:t>
      </w:r>
    </w:p>
    <w:p w14:paraId="21261C91" w14:textId="77777777" w:rsidR="00433472" w:rsidRPr="00AE2CB5" w:rsidRDefault="00433472" w:rsidP="00433472">
      <w:pPr>
        <w:pStyle w:val="Note"/>
        <w:rPr>
          <w:color w:val="auto"/>
        </w:rPr>
      </w:pPr>
    </w:p>
    <w:p w14:paraId="4BB5A18B" w14:textId="77777777" w:rsidR="000450FE" w:rsidRDefault="000450FE" w:rsidP="00433472">
      <w:pPr>
        <w:pStyle w:val="Note"/>
        <w:rPr>
          <w:color w:val="auto"/>
        </w:rPr>
      </w:pPr>
    </w:p>
    <w:p w14:paraId="18DDF43D" w14:textId="77777777" w:rsidR="000450FE" w:rsidRDefault="000450FE" w:rsidP="00433472">
      <w:pPr>
        <w:pStyle w:val="Note"/>
        <w:rPr>
          <w:color w:val="auto"/>
        </w:rPr>
      </w:pPr>
    </w:p>
    <w:p w14:paraId="2410429F" w14:textId="77777777" w:rsidR="00E831B3" w:rsidRDefault="00E831B3" w:rsidP="00EF6030">
      <w:pPr>
        <w:pStyle w:val="References"/>
      </w:pPr>
    </w:p>
    <w:sectPr w:rsidR="00E831B3" w:rsidSect="004334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190" w14:textId="77777777" w:rsidR="00426C4C" w:rsidRPr="00B844FE" w:rsidRDefault="00426C4C" w:rsidP="00B844FE">
      <w:r>
        <w:separator/>
      </w:r>
    </w:p>
  </w:endnote>
  <w:endnote w:type="continuationSeparator" w:id="0">
    <w:p w14:paraId="4B5CF892" w14:textId="77777777" w:rsidR="00426C4C" w:rsidRPr="00B844FE" w:rsidRDefault="00426C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27CC" w14:textId="77777777" w:rsidR="00433472" w:rsidRDefault="00433472" w:rsidP="004334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B08E30" w14:textId="77777777" w:rsidR="00433472" w:rsidRPr="00433472" w:rsidRDefault="00433472" w:rsidP="00433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1375" w14:textId="77777777" w:rsidR="00433472" w:rsidRDefault="00433472" w:rsidP="004334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F65EA0" w14:textId="77777777" w:rsidR="00433472" w:rsidRPr="00433472" w:rsidRDefault="00433472" w:rsidP="0043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C1B0" w14:textId="77777777" w:rsidR="00426C4C" w:rsidRPr="00B844FE" w:rsidRDefault="00426C4C" w:rsidP="00B844FE">
      <w:r>
        <w:separator/>
      </w:r>
    </w:p>
  </w:footnote>
  <w:footnote w:type="continuationSeparator" w:id="0">
    <w:p w14:paraId="3CF0ED4A" w14:textId="77777777" w:rsidR="00426C4C" w:rsidRPr="00B844FE" w:rsidRDefault="00426C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F6A2" w14:textId="77777777" w:rsidR="00433472" w:rsidRPr="00433472" w:rsidRDefault="00433472" w:rsidP="00433472">
    <w:pPr>
      <w:pStyle w:val="Header"/>
    </w:pPr>
    <w:r>
      <w:t>CS for SB 247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C919" w14:textId="77777777" w:rsidR="00433472" w:rsidRPr="00433472" w:rsidRDefault="00433472" w:rsidP="00433472">
    <w:pPr>
      <w:pStyle w:val="Header"/>
    </w:pPr>
    <w:r>
      <w:t>CS for SB 247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0974484">
    <w:abstractNumId w:val="0"/>
  </w:num>
  <w:num w:numId="2" w16cid:durableId="62215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4C"/>
    <w:rsid w:val="00002112"/>
    <w:rsid w:val="0000526A"/>
    <w:rsid w:val="000450FE"/>
    <w:rsid w:val="00085D22"/>
    <w:rsid w:val="000C5C77"/>
    <w:rsid w:val="0010070F"/>
    <w:rsid w:val="0015112E"/>
    <w:rsid w:val="001552E7"/>
    <w:rsid w:val="001566B4"/>
    <w:rsid w:val="00175B38"/>
    <w:rsid w:val="001C19F9"/>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247F1"/>
    <w:rsid w:val="00426C4C"/>
    <w:rsid w:val="00433472"/>
    <w:rsid w:val="004B2795"/>
    <w:rsid w:val="004C13DD"/>
    <w:rsid w:val="004E11C5"/>
    <w:rsid w:val="004E3441"/>
    <w:rsid w:val="00571DC3"/>
    <w:rsid w:val="005A5366"/>
    <w:rsid w:val="005A54F2"/>
    <w:rsid w:val="00637E73"/>
    <w:rsid w:val="006565E8"/>
    <w:rsid w:val="006865E9"/>
    <w:rsid w:val="00691F3E"/>
    <w:rsid w:val="00694BFB"/>
    <w:rsid w:val="006A106B"/>
    <w:rsid w:val="006C523D"/>
    <w:rsid w:val="006D4036"/>
    <w:rsid w:val="007E02CF"/>
    <w:rsid w:val="007F1CF5"/>
    <w:rsid w:val="0081249D"/>
    <w:rsid w:val="00821FC2"/>
    <w:rsid w:val="00834EDE"/>
    <w:rsid w:val="008736AA"/>
    <w:rsid w:val="008A7FAA"/>
    <w:rsid w:val="008D275D"/>
    <w:rsid w:val="00952402"/>
    <w:rsid w:val="00980327"/>
    <w:rsid w:val="009F1067"/>
    <w:rsid w:val="00A31E01"/>
    <w:rsid w:val="00A35B03"/>
    <w:rsid w:val="00A35EC4"/>
    <w:rsid w:val="00A527AD"/>
    <w:rsid w:val="00A718CF"/>
    <w:rsid w:val="00A72E7C"/>
    <w:rsid w:val="00AC3B58"/>
    <w:rsid w:val="00AE48A0"/>
    <w:rsid w:val="00AE61BE"/>
    <w:rsid w:val="00B16F25"/>
    <w:rsid w:val="00B24422"/>
    <w:rsid w:val="00B26097"/>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827BF"/>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0713D"/>
  <w15:chartTrackingRefBased/>
  <w15:docId w15:val="{BD152CA7-EC24-4E84-AC19-90D2DC12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33472"/>
    <w:rPr>
      <w:rFonts w:eastAsia="Calibri"/>
      <w:b/>
      <w:caps/>
      <w:color w:val="000000"/>
      <w:sz w:val="24"/>
    </w:rPr>
  </w:style>
  <w:style w:type="character" w:customStyle="1" w:styleId="SectionBodyChar">
    <w:name w:val="Section Body Char"/>
    <w:link w:val="SectionBody"/>
    <w:rsid w:val="00433472"/>
    <w:rPr>
      <w:rFonts w:eastAsia="Calibri"/>
      <w:color w:val="000000"/>
    </w:rPr>
  </w:style>
  <w:style w:type="character" w:customStyle="1" w:styleId="SectionHeadingChar">
    <w:name w:val="Section Heading Char"/>
    <w:link w:val="SectionHeading"/>
    <w:rsid w:val="00433472"/>
    <w:rPr>
      <w:rFonts w:eastAsia="Calibri"/>
      <w:b/>
      <w:color w:val="000000"/>
    </w:rPr>
  </w:style>
  <w:style w:type="character" w:styleId="PageNumber">
    <w:name w:val="page number"/>
    <w:basedOn w:val="DefaultParagraphFont"/>
    <w:uiPriority w:val="99"/>
    <w:semiHidden/>
    <w:locked/>
    <w:rsid w:val="0043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A3B4DC2EA40CFB2D2FFF139EF5A8C"/>
        <w:category>
          <w:name w:val="General"/>
          <w:gallery w:val="placeholder"/>
        </w:category>
        <w:types>
          <w:type w:val="bbPlcHdr"/>
        </w:types>
        <w:behaviors>
          <w:behavior w:val="content"/>
        </w:behaviors>
        <w:guid w:val="{1BBD292D-7EF5-42FA-976C-D769B4FEE570}"/>
      </w:docPartPr>
      <w:docPartBody>
        <w:p w:rsidR="00580D57" w:rsidRDefault="00BF6FA6">
          <w:pPr>
            <w:pStyle w:val="6C2A3B4DC2EA40CFB2D2FFF139EF5A8C"/>
          </w:pPr>
          <w:r w:rsidRPr="00B844FE">
            <w:t>Prefix Text</w:t>
          </w:r>
        </w:p>
      </w:docPartBody>
    </w:docPart>
    <w:docPart>
      <w:docPartPr>
        <w:name w:val="8AE219EEF224426981392A91D619F7E7"/>
        <w:category>
          <w:name w:val="General"/>
          <w:gallery w:val="placeholder"/>
        </w:category>
        <w:types>
          <w:type w:val="bbPlcHdr"/>
        </w:types>
        <w:behaviors>
          <w:behavior w:val="content"/>
        </w:behaviors>
        <w:guid w:val="{D4F9EB1E-F106-4AF8-90F2-0F11C3F99005}"/>
      </w:docPartPr>
      <w:docPartBody>
        <w:p w:rsidR="00580D57" w:rsidRDefault="00BF6FA6">
          <w:pPr>
            <w:pStyle w:val="8AE219EEF224426981392A91D619F7E7"/>
          </w:pPr>
          <w:r w:rsidRPr="00B844FE">
            <w:t>[Type here]</w:t>
          </w:r>
        </w:p>
      </w:docPartBody>
    </w:docPart>
    <w:docPart>
      <w:docPartPr>
        <w:name w:val="5902D908E1684733B9BEEF3C0C8F1534"/>
        <w:category>
          <w:name w:val="General"/>
          <w:gallery w:val="placeholder"/>
        </w:category>
        <w:types>
          <w:type w:val="bbPlcHdr"/>
        </w:types>
        <w:behaviors>
          <w:behavior w:val="content"/>
        </w:behaviors>
        <w:guid w:val="{F7B61F34-164E-41F7-83EF-1F5D69C5C312}"/>
      </w:docPartPr>
      <w:docPartBody>
        <w:p w:rsidR="00580D57" w:rsidRDefault="00BF6FA6">
          <w:pPr>
            <w:pStyle w:val="5902D908E1684733B9BEEF3C0C8F1534"/>
          </w:pPr>
          <w:r w:rsidRPr="00B844FE">
            <w:t>Number</w:t>
          </w:r>
        </w:p>
      </w:docPartBody>
    </w:docPart>
    <w:docPart>
      <w:docPartPr>
        <w:name w:val="68F6264025AF42B98F29005DA9A92DF2"/>
        <w:category>
          <w:name w:val="General"/>
          <w:gallery w:val="placeholder"/>
        </w:category>
        <w:types>
          <w:type w:val="bbPlcHdr"/>
        </w:types>
        <w:behaviors>
          <w:behavior w:val="content"/>
        </w:behaviors>
        <w:guid w:val="{79C0D192-BF71-4D60-8E7F-D0A5430B4D8E}"/>
      </w:docPartPr>
      <w:docPartBody>
        <w:p w:rsidR="00580D57" w:rsidRDefault="00BF6FA6">
          <w:pPr>
            <w:pStyle w:val="68F6264025AF42B98F29005DA9A92DF2"/>
          </w:pPr>
          <w:r>
            <w:rPr>
              <w:rStyle w:val="PlaceholderText"/>
            </w:rPr>
            <w:t>Enter References</w:t>
          </w:r>
        </w:p>
      </w:docPartBody>
    </w:docPart>
    <w:docPart>
      <w:docPartPr>
        <w:name w:val="E73A1E11839C44A9AEE390290CCD520D"/>
        <w:category>
          <w:name w:val="General"/>
          <w:gallery w:val="placeholder"/>
        </w:category>
        <w:types>
          <w:type w:val="bbPlcHdr"/>
        </w:types>
        <w:behaviors>
          <w:behavior w:val="content"/>
        </w:behaviors>
        <w:guid w:val="{433ECC0B-647E-4FE2-B395-F519437CA82F}"/>
      </w:docPartPr>
      <w:docPartBody>
        <w:p w:rsidR="00580D57" w:rsidRDefault="00BF6FA6">
          <w:pPr>
            <w:pStyle w:val="E73A1E11839C44A9AEE390290CCD520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A6"/>
    <w:rsid w:val="00580D57"/>
    <w:rsid w:val="00B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2A3B4DC2EA40CFB2D2FFF139EF5A8C">
    <w:name w:val="6C2A3B4DC2EA40CFB2D2FFF139EF5A8C"/>
  </w:style>
  <w:style w:type="paragraph" w:customStyle="1" w:styleId="8AE219EEF224426981392A91D619F7E7">
    <w:name w:val="8AE219EEF224426981392A91D619F7E7"/>
  </w:style>
  <w:style w:type="paragraph" w:customStyle="1" w:styleId="5902D908E1684733B9BEEF3C0C8F1534">
    <w:name w:val="5902D908E1684733B9BEEF3C0C8F1534"/>
  </w:style>
  <w:style w:type="character" w:styleId="PlaceholderText">
    <w:name w:val="Placeholder Text"/>
    <w:basedOn w:val="DefaultParagraphFont"/>
    <w:uiPriority w:val="99"/>
    <w:semiHidden/>
    <w:rPr>
      <w:color w:val="808080"/>
    </w:rPr>
  </w:style>
  <w:style w:type="paragraph" w:customStyle="1" w:styleId="68F6264025AF42B98F29005DA9A92DF2">
    <w:name w:val="68F6264025AF42B98F29005DA9A92DF2"/>
  </w:style>
  <w:style w:type="paragraph" w:customStyle="1" w:styleId="E73A1E11839C44A9AEE390290CCD520D">
    <w:name w:val="E73A1E11839C44A9AEE390290CCD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461</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3</cp:revision>
  <cp:lastPrinted>2023-02-01T22:29:00Z</cp:lastPrinted>
  <dcterms:created xsi:type="dcterms:W3CDTF">2023-02-01T22:30:00Z</dcterms:created>
  <dcterms:modified xsi:type="dcterms:W3CDTF">2023-02-02T15:07:00Z</dcterms:modified>
</cp:coreProperties>
</file>