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E16A" w14:textId="7F7C32AA" w:rsidR="00FE067E" w:rsidRPr="004F0B85" w:rsidRDefault="003C6034" w:rsidP="00CC1F3B">
      <w:pPr>
        <w:pStyle w:val="TitlePageOrigin"/>
        <w:rPr>
          <w:color w:val="auto"/>
        </w:rPr>
      </w:pPr>
      <w:r w:rsidRPr="004F0B85">
        <w:rPr>
          <w:caps w:val="0"/>
          <w:color w:val="auto"/>
        </w:rPr>
        <w:t>WEST VIRGINIA LEGISLATURE</w:t>
      </w:r>
    </w:p>
    <w:p w14:paraId="738E94FE" w14:textId="77777777" w:rsidR="00CD36CF" w:rsidRPr="004F0B85" w:rsidRDefault="00CD36CF" w:rsidP="00CC1F3B">
      <w:pPr>
        <w:pStyle w:val="TitlePageSession"/>
        <w:rPr>
          <w:color w:val="auto"/>
        </w:rPr>
      </w:pPr>
      <w:r w:rsidRPr="004F0B85">
        <w:rPr>
          <w:color w:val="auto"/>
        </w:rPr>
        <w:t>20</w:t>
      </w:r>
      <w:r w:rsidR="00EC5E63" w:rsidRPr="004F0B85">
        <w:rPr>
          <w:color w:val="auto"/>
        </w:rPr>
        <w:t>2</w:t>
      </w:r>
      <w:r w:rsidR="00B71E6F" w:rsidRPr="004F0B85">
        <w:rPr>
          <w:color w:val="auto"/>
        </w:rPr>
        <w:t>3</w:t>
      </w:r>
      <w:r w:rsidRPr="004F0B85">
        <w:rPr>
          <w:color w:val="auto"/>
        </w:rPr>
        <w:t xml:space="preserve"> </w:t>
      </w:r>
      <w:r w:rsidR="003C6034" w:rsidRPr="004F0B85">
        <w:rPr>
          <w:caps w:val="0"/>
          <w:color w:val="auto"/>
        </w:rPr>
        <w:t>REGULAR SESSION</w:t>
      </w:r>
    </w:p>
    <w:p w14:paraId="3FF6CD48" w14:textId="4254049B" w:rsidR="00CD36CF" w:rsidRPr="004F0B85" w:rsidRDefault="007627E1" w:rsidP="00CC1F3B">
      <w:pPr>
        <w:pStyle w:val="TitlePageBillPrefix"/>
        <w:rPr>
          <w:color w:val="auto"/>
        </w:rPr>
      </w:pPr>
      <w:sdt>
        <w:sdtPr>
          <w:rPr>
            <w:color w:val="auto"/>
          </w:rPr>
          <w:tag w:val="IntroDate"/>
          <w:id w:val="-1236936958"/>
          <w:placeholder>
            <w:docPart w:val="759AA6A24B3A43A8B33E98E1A56EABEB"/>
          </w:placeholder>
          <w:text/>
        </w:sdtPr>
        <w:sdtEndPr/>
        <w:sdtContent>
          <w:r w:rsidR="009660EE">
            <w:rPr>
              <w:color w:val="auto"/>
            </w:rPr>
            <w:t>SECOND ENGROSSMENT</w:t>
          </w:r>
        </w:sdtContent>
      </w:sdt>
    </w:p>
    <w:p w14:paraId="7A2E2A7B" w14:textId="4A990BE4" w:rsidR="00CD36CF" w:rsidRPr="004F0B85" w:rsidRDefault="007627E1" w:rsidP="00CC1F3B">
      <w:pPr>
        <w:pStyle w:val="BillNumber"/>
        <w:rPr>
          <w:color w:val="auto"/>
        </w:rPr>
      </w:pPr>
      <w:sdt>
        <w:sdtPr>
          <w:rPr>
            <w:color w:val="auto"/>
          </w:rPr>
          <w:tag w:val="Chamber"/>
          <w:id w:val="893011969"/>
          <w:lock w:val="sdtLocked"/>
          <w:placeholder>
            <w:docPart w:val="4B15592BBF5240F1A767F83889E3E059"/>
          </w:placeholder>
          <w:dropDownList>
            <w:listItem w:displayText="House" w:value="House"/>
            <w:listItem w:displayText="Senate" w:value="Senate"/>
          </w:dropDownList>
        </w:sdtPr>
        <w:sdtEndPr/>
        <w:sdtContent>
          <w:r w:rsidR="00C33434" w:rsidRPr="004F0B85">
            <w:rPr>
              <w:color w:val="auto"/>
            </w:rPr>
            <w:t>House</w:t>
          </w:r>
        </w:sdtContent>
      </w:sdt>
      <w:r w:rsidR="00303684" w:rsidRPr="004F0B85">
        <w:rPr>
          <w:color w:val="auto"/>
        </w:rPr>
        <w:t xml:space="preserve"> </w:t>
      </w:r>
      <w:r w:rsidR="00CD36CF" w:rsidRPr="004F0B85">
        <w:rPr>
          <w:color w:val="auto"/>
        </w:rPr>
        <w:t xml:space="preserve">Bill </w:t>
      </w:r>
      <w:sdt>
        <w:sdtPr>
          <w:rPr>
            <w:color w:val="auto"/>
          </w:rPr>
          <w:tag w:val="BNum"/>
          <w:id w:val="1645317809"/>
          <w:lock w:val="sdtLocked"/>
          <w:placeholder>
            <w:docPart w:val="DBDC4A2F8B294CAD8CA2A4D6C366BA4B"/>
          </w:placeholder>
          <w:text/>
        </w:sdtPr>
        <w:sdtEndPr/>
        <w:sdtContent>
          <w:r w:rsidR="009F6EEE">
            <w:rPr>
              <w:color w:val="auto"/>
            </w:rPr>
            <w:t>3499</w:t>
          </w:r>
        </w:sdtContent>
      </w:sdt>
    </w:p>
    <w:p w14:paraId="58209D07" w14:textId="2C417677" w:rsidR="00CD36CF" w:rsidRPr="004F0B85" w:rsidRDefault="00CD36CF" w:rsidP="00C347FB">
      <w:pPr>
        <w:pStyle w:val="Sponsors"/>
        <w:ind w:left="1440" w:right="1440"/>
        <w:rPr>
          <w:color w:val="auto"/>
        </w:rPr>
      </w:pPr>
      <w:r w:rsidRPr="004F0B85">
        <w:rPr>
          <w:color w:val="auto"/>
        </w:rPr>
        <w:t xml:space="preserve">By </w:t>
      </w:r>
      <w:r w:rsidR="003E2C8F" w:rsidRPr="004F0B85">
        <w:rPr>
          <w:color w:val="auto"/>
        </w:rPr>
        <w:t>Delegate</w:t>
      </w:r>
      <w:r w:rsidR="00F032A3">
        <w:rPr>
          <w:color w:val="auto"/>
        </w:rPr>
        <w:t>s</w:t>
      </w:r>
      <w:r w:rsidR="003E2C8F" w:rsidRPr="004F0B85">
        <w:rPr>
          <w:color w:val="auto"/>
        </w:rPr>
        <w:t xml:space="preserve"> Fast</w:t>
      </w:r>
      <w:r w:rsidR="00F032A3">
        <w:rPr>
          <w:color w:val="auto"/>
        </w:rPr>
        <w:t>, Petitto, Warner, Lucas, C. Pritt, Cooper and Steele</w:t>
      </w:r>
    </w:p>
    <w:p w14:paraId="2CA6F557" w14:textId="77777777" w:rsidR="00FF3CC3" w:rsidRDefault="00CD36CF" w:rsidP="00CC1F3B">
      <w:pPr>
        <w:pStyle w:val="References"/>
        <w:rPr>
          <w:color w:val="auto"/>
        </w:rPr>
        <w:sectPr w:rsidR="00FF3CC3" w:rsidSect="001A2F23">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4F0B85">
        <w:rPr>
          <w:color w:val="auto"/>
        </w:rPr>
        <w:t>[</w:t>
      </w:r>
      <w:sdt>
        <w:sdtPr>
          <w:rPr>
            <w:color w:val="auto"/>
          </w:rPr>
          <w:tag w:val="References"/>
          <w:id w:val="-1043047873"/>
          <w:placeholder>
            <w:docPart w:val="256CCBC0F99E45F4BDDE674FEA938B70"/>
          </w:placeholder>
          <w:text w:multiLine="1"/>
        </w:sdtPr>
        <w:sdtEndPr/>
        <w:sdtContent>
          <w:r w:rsidR="009F6EEE">
            <w:rPr>
              <w:color w:val="auto"/>
            </w:rPr>
            <w:t>Introduced February 14, 2023; Referred to the Committee on the Judiciary</w:t>
          </w:r>
        </w:sdtContent>
      </w:sdt>
      <w:r w:rsidRPr="004F0B85">
        <w:rPr>
          <w:color w:val="auto"/>
        </w:rPr>
        <w:t>]</w:t>
      </w:r>
    </w:p>
    <w:p w14:paraId="66821EFD" w14:textId="77777777" w:rsidR="00AE0EDA" w:rsidRDefault="00AE0EDA" w:rsidP="00CC1F3B">
      <w:pPr>
        <w:pStyle w:val="References"/>
        <w:rPr>
          <w:color w:val="auto"/>
        </w:rPr>
        <w:sectPr w:rsidR="00AE0EDA" w:rsidSect="00FF3CC3">
          <w:pgSz w:w="12240" w:h="15840" w:code="1"/>
          <w:pgMar w:top="1440" w:right="1440" w:bottom="1440" w:left="1440" w:header="720" w:footer="720" w:gutter="0"/>
          <w:lnNumType w:countBy="1" w:restart="newSection"/>
          <w:pgNumType w:start="0"/>
          <w:cols w:space="720"/>
          <w:titlePg/>
          <w:docGrid w:linePitch="360"/>
        </w:sectPr>
      </w:pPr>
    </w:p>
    <w:p w14:paraId="7635088E" w14:textId="3B7FF8C2" w:rsidR="00E831B3" w:rsidRPr="004F0B85" w:rsidRDefault="00E831B3" w:rsidP="00CC1F3B">
      <w:pPr>
        <w:pStyle w:val="References"/>
        <w:rPr>
          <w:color w:val="auto"/>
        </w:rPr>
      </w:pPr>
    </w:p>
    <w:p w14:paraId="6B9628D1" w14:textId="4456B078" w:rsidR="00303684" w:rsidRPr="004F0B85" w:rsidRDefault="0000526A" w:rsidP="00FF3CC3">
      <w:pPr>
        <w:pStyle w:val="TitleSection"/>
        <w:rPr>
          <w:color w:val="auto"/>
        </w:rPr>
      </w:pPr>
      <w:r w:rsidRPr="004F0B85">
        <w:rPr>
          <w:color w:val="auto"/>
        </w:rPr>
        <w:lastRenderedPageBreak/>
        <w:t>A BILL</w:t>
      </w:r>
      <w:r w:rsidR="003E2C8F" w:rsidRPr="004F0B85">
        <w:rPr>
          <w:color w:val="auto"/>
        </w:rPr>
        <w:t xml:space="preserve"> to amend and reenact </w:t>
      </w:r>
      <w:r w:rsidR="003E2C8F" w:rsidRPr="004F0B85">
        <w:rPr>
          <w:rFonts w:cs="Arial"/>
          <w:color w:val="auto"/>
        </w:rPr>
        <w:t>§</w:t>
      </w:r>
      <w:r w:rsidR="003E2C8F" w:rsidRPr="004F0B85">
        <w:rPr>
          <w:color w:val="auto"/>
        </w:rPr>
        <w:t>36-12-13 of the Code of West Virginia, 1931, as amended, relating to allowing death deeds to specify joint tenancy with right of survivorship.</w:t>
      </w:r>
    </w:p>
    <w:p w14:paraId="74A4DDCC" w14:textId="0A4DF2CC" w:rsidR="003C6034" w:rsidRPr="004F0B85" w:rsidRDefault="00303684" w:rsidP="00FF3CC3">
      <w:pPr>
        <w:pStyle w:val="EnactingClause"/>
        <w:rPr>
          <w:color w:val="auto"/>
        </w:rPr>
      </w:pPr>
      <w:r w:rsidRPr="004F0B85">
        <w:rPr>
          <w:color w:val="auto"/>
        </w:rPr>
        <w:t>Be it enacted by the Legislature of West Virginia:</w:t>
      </w:r>
    </w:p>
    <w:p w14:paraId="4EB3DCE0" w14:textId="2ECAD133" w:rsidR="009660EE" w:rsidRPr="008A5392" w:rsidRDefault="009660EE" w:rsidP="00FF3CC3">
      <w:pPr>
        <w:suppressLineNumbers/>
        <w:ind w:left="720" w:hanging="720"/>
        <w:jc w:val="both"/>
        <w:outlineLvl w:val="1"/>
        <w:rPr>
          <w:rFonts w:eastAsia="Calibri"/>
          <w:b/>
          <w:caps/>
          <w:color w:val="000000"/>
          <w:sz w:val="24"/>
        </w:rPr>
      </w:pPr>
      <w:r w:rsidRPr="008A5392">
        <w:rPr>
          <w:rFonts w:eastAsia="Calibri"/>
          <w:b/>
          <w:caps/>
          <w:color w:val="000000"/>
          <w:sz w:val="24"/>
        </w:rPr>
        <w:t>Article 12. Uniform Real property transfer on death act.</w:t>
      </w:r>
    </w:p>
    <w:p w14:paraId="652D5A82" w14:textId="25E903F2" w:rsidR="009660EE" w:rsidRPr="008A5392" w:rsidRDefault="009660EE" w:rsidP="00FF3CC3">
      <w:pPr>
        <w:suppressLineNumbers/>
        <w:ind w:left="720" w:hanging="720"/>
        <w:jc w:val="both"/>
        <w:outlineLvl w:val="3"/>
        <w:rPr>
          <w:rFonts w:eastAsia="Calibri"/>
          <w:b/>
          <w:color w:val="000000"/>
        </w:rPr>
        <w:sectPr w:rsidR="009660EE" w:rsidRPr="008A5392" w:rsidSect="00FB509C">
          <w:headerReference w:type="even"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docGrid w:linePitch="360"/>
        </w:sectPr>
      </w:pPr>
      <w:r w:rsidRPr="008A5392">
        <w:rPr>
          <w:rFonts w:eastAsia="Calibri"/>
          <w:b/>
          <w:color w:val="000000"/>
        </w:rPr>
        <w:t>36-12-13. Effect of transfer on death deed at transferor</w:t>
      </w:r>
      <w:r w:rsidR="00FF3CC3">
        <w:rPr>
          <w:rFonts w:eastAsia="Calibri"/>
          <w:b/>
          <w:color w:val="000000"/>
        </w:rPr>
        <w:t>’</w:t>
      </w:r>
      <w:r w:rsidRPr="008A5392">
        <w:rPr>
          <w:rFonts w:eastAsia="Calibri"/>
          <w:b/>
          <w:color w:val="000000"/>
        </w:rPr>
        <w:t>s death</w:t>
      </w:r>
    </w:p>
    <w:p w14:paraId="17F624F7" w14:textId="2B36FC97" w:rsidR="009660EE" w:rsidRPr="008A5392" w:rsidRDefault="009660EE" w:rsidP="00FF3CC3">
      <w:pPr>
        <w:ind w:firstLine="720"/>
        <w:jc w:val="both"/>
        <w:rPr>
          <w:rFonts w:eastAsia="Calibri"/>
          <w:b/>
          <w:color w:val="000000"/>
        </w:rPr>
      </w:pPr>
      <w:r>
        <w:rPr>
          <w:rFonts w:eastAsia="Calibri"/>
          <w:color w:val="000000"/>
        </w:rPr>
        <w:t xml:space="preserve">(a) </w:t>
      </w:r>
      <w:r w:rsidRPr="008A5392">
        <w:rPr>
          <w:rFonts w:eastAsia="Calibri"/>
          <w:color w:val="000000"/>
        </w:rPr>
        <w:t xml:space="preserve">Except as otherwise provided in the transfer on death deed in this article, </w:t>
      </w:r>
      <w:r w:rsidRPr="008A5392">
        <w:rPr>
          <w:rFonts w:eastAsia="Calibri"/>
          <w:strike/>
          <w:color w:val="000000"/>
        </w:rPr>
        <w:t>section six, article one, chapter forty-one of this code</w:t>
      </w:r>
      <w:r w:rsidRPr="008A5392">
        <w:rPr>
          <w:rFonts w:eastAsia="Calibri"/>
          <w:color w:val="000000"/>
        </w:rPr>
        <w:t xml:space="preserve"> </w:t>
      </w:r>
      <w:r w:rsidRPr="008A5392">
        <w:rPr>
          <w:rFonts w:eastAsia="Calibri" w:cs="Arial"/>
          <w:color w:val="000000"/>
          <w:u w:val="single"/>
        </w:rPr>
        <w:t>§</w:t>
      </w:r>
      <w:r w:rsidRPr="008A5392">
        <w:rPr>
          <w:rFonts w:eastAsia="Calibri"/>
          <w:color w:val="000000"/>
          <w:u w:val="single"/>
        </w:rPr>
        <w:t>41-1-6 of this code,</w:t>
      </w:r>
      <w:r w:rsidRPr="008A5392">
        <w:rPr>
          <w:rFonts w:eastAsia="Calibri"/>
          <w:color w:val="000000"/>
        </w:rPr>
        <w:t xml:space="preserve"> </w:t>
      </w:r>
      <w:r w:rsidRPr="008A5392">
        <w:rPr>
          <w:rFonts w:eastAsia="Calibri"/>
          <w:strike/>
          <w:color w:val="000000"/>
        </w:rPr>
        <w:t>section three, article three, chapter forty-one of this code</w:t>
      </w:r>
      <w:r w:rsidRPr="008A5392">
        <w:rPr>
          <w:rFonts w:eastAsia="Calibri"/>
          <w:color w:val="000000"/>
        </w:rPr>
        <w:t xml:space="preserve"> </w:t>
      </w:r>
      <w:r w:rsidRPr="008A5392">
        <w:rPr>
          <w:rFonts w:eastAsia="Calibri" w:cs="Arial"/>
          <w:color w:val="000000"/>
          <w:u w:val="single"/>
        </w:rPr>
        <w:t>§</w:t>
      </w:r>
      <w:r w:rsidRPr="008A5392">
        <w:rPr>
          <w:rFonts w:eastAsia="Calibri"/>
          <w:color w:val="000000"/>
          <w:u w:val="single"/>
        </w:rPr>
        <w:t>41-3-3 of this code,</w:t>
      </w:r>
      <w:r w:rsidRPr="008A5392">
        <w:rPr>
          <w:rFonts w:eastAsia="Calibri"/>
          <w:color w:val="000000"/>
        </w:rPr>
        <w:t xml:space="preserve"> </w:t>
      </w:r>
      <w:r w:rsidRPr="008A5392">
        <w:rPr>
          <w:rFonts w:eastAsia="Calibri"/>
          <w:strike/>
          <w:color w:val="000000"/>
        </w:rPr>
        <w:t>article three, chapter forty-two of this code</w:t>
      </w:r>
      <w:r w:rsidRPr="008A5392">
        <w:rPr>
          <w:rFonts w:eastAsia="Calibri"/>
          <w:color w:val="000000"/>
        </w:rPr>
        <w:t xml:space="preserve"> </w:t>
      </w:r>
      <w:r w:rsidRPr="008A5392">
        <w:rPr>
          <w:rFonts w:eastAsia="Calibri" w:cs="Arial"/>
          <w:color w:val="000000"/>
          <w:u w:val="single"/>
        </w:rPr>
        <w:t>§</w:t>
      </w:r>
      <w:r w:rsidRPr="008A5392">
        <w:rPr>
          <w:rFonts w:eastAsia="Calibri"/>
          <w:color w:val="000000"/>
          <w:u w:val="single"/>
        </w:rPr>
        <w:t>42-3-1,</w:t>
      </w:r>
      <w:r w:rsidR="00FF3CC3" w:rsidRPr="00FF3CC3">
        <w:rPr>
          <w:rFonts w:eastAsia="Calibri"/>
          <w:i/>
          <w:color w:val="000000"/>
          <w:u w:val="single"/>
        </w:rPr>
        <w:t xml:space="preserve"> et seq. </w:t>
      </w:r>
      <w:r w:rsidRPr="008A5392">
        <w:rPr>
          <w:rFonts w:eastAsia="Calibri"/>
          <w:color w:val="000000"/>
          <w:u w:val="single"/>
        </w:rPr>
        <w:t>of this code,</w:t>
      </w:r>
      <w:r w:rsidRPr="008A5392">
        <w:rPr>
          <w:rFonts w:eastAsia="Calibri"/>
          <w:color w:val="000000"/>
        </w:rPr>
        <w:t xml:space="preserve"> </w:t>
      </w:r>
      <w:r w:rsidRPr="008A5392">
        <w:rPr>
          <w:rFonts w:eastAsia="Calibri"/>
          <w:strike/>
          <w:color w:val="000000"/>
        </w:rPr>
        <w:t>section two, article four, chapter forty-two of this code</w:t>
      </w:r>
      <w:r w:rsidRPr="008A5392">
        <w:rPr>
          <w:rFonts w:eastAsia="Calibri"/>
          <w:color w:val="000000"/>
        </w:rPr>
        <w:t xml:space="preserve"> </w:t>
      </w:r>
      <w:r w:rsidRPr="008A5392">
        <w:rPr>
          <w:rFonts w:eastAsia="Calibri" w:cs="Arial"/>
          <w:color w:val="000000"/>
          <w:u w:val="single"/>
        </w:rPr>
        <w:t>§</w:t>
      </w:r>
      <w:r w:rsidRPr="008A5392">
        <w:rPr>
          <w:rFonts w:eastAsia="Calibri"/>
          <w:color w:val="000000"/>
          <w:u w:val="single"/>
        </w:rPr>
        <w:t>42-</w:t>
      </w:r>
      <w:r w:rsidRPr="008A5392">
        <w:rPr>
          <w:rFonts w:eastAsia="Calibri"/>
          <w:color w:val="000000"/>
        </w:rPr>
        <w:t>§</w:t>
      </w:r>
      <w:r w:rsidRPr="008A5392">
        <w:rPr>
          <w:rFonts w:eastAsia="Calibri"/>
          <w:color w:val="000000"/>
          <w:u w:val="single"/>
        </w:rPr>
        <w:t>4-2 of this code,</w:t>
      </w:r>
      <w:r w:rsidRPr="008A5392">
        <w:rPr>
          <w:rFonts w:eastAsia="Calibri"/>
          <w:color w:val="000000"/>
        </w:rPr>
        <w:t xml:space="preserve"> or </w:t>
      </w:r>
      <w:r w:rsidRPr="008A5392">
        <w:rPr>
          <w:rFonts w:eastAsia="Calibri"/>
          <w:strike/>
          <w:color w:val="000000"/>
        </w:rPr>
        <w:t>article five, chapter forty-two of this code</w:t>
      </w:r>
      <w:r w:rsidRPr="008A5392">
        <w:rPr>
          <w:rFonts w:eastAsia="Calibri"/>
          <w:color w:val="000000"/>
        </w:rPr>
        <w:t xml:space="preserve"> </w:t>
      </w:r>
      <w:r w:rsidRPr="008A5392">
        <w:rPr>
          <w:rFonts w:eastAsia="Calibri" w:cs="Arial"/>
          <w:color w:val="000000"/>
          <w:u w:val="single"/>
        </w:rPr>
        <w:t>§</w:t>
      </w:r>
      <w:r w:rsidRPr="008A5392">
        <w:rPr>
          <w:rFonts w:eastAsia="Calibri"/>
          <w:color w:val="000000"/>
          <w:u w:val="single"/>
        </w:rPr>
        <w:t>42-5-1,</w:t>
      </w:r>
      <w:r w:rsidR="00FF3CC3" w:rsidRPr="00FF3CC3">
        <w:rPr>
          <w:rFonts w:eastAsia="Calibri"/>
          <w:i/>
          <w:color w:val="000000"/>
          <w:u w:val="single"/>
        </w:rPr>
        <w:t xml:space="preserve"> et seq. </w:t>
      </w:r>
      <w:r w:rsidRPr="008A5392">
        <w:rPr>
          <w:rFonts w:eastAsia="Calibri"/>
          <w:color w:val="000000"/>
          <w:u w:val="single"/>
        </w:rPr>
        <w:t>of this code,</w:t>
      </w:r>
      <w:r w:rsidRPr="008A5392">
        <w:rPr>
          <w:rFonts w:eastAsia="Calibri"/>
          <w:color w:val="000000"/>
        </w:rPr>
        <w:t xml:space="preserve"> on the death of the transferor the following rules apply to property that is the subject of a transfer on death deed and owned by the transferor at death:</w:t>
      </w:r>
    </w:p>
    <w:p w14:paraId="58F4D53F" w14:textId="77777777" w:rsidR="009660EE" w:rsidRPr="008A5392" w:rsidRDefault="009660EE" w:rsidP="00FF3CC3">
      <w:pPr>
        <w:ind w:firstLine="720"/>
        <w:jc w:val="both"/>
        <w:rPr>
          <w:rFonts w:eastAsia="Calibri"/>
          <w:color w:val="000000"/>
        </w:rPr>
      </w:pPr>
      <w:r w:rsidRPr="008A5392">
        <w:rPr>
          <w:rFonts w:eastAsia="Calibri"/>
          <w:color w:val="000000"/>
        </w:rPr>
        <w:t>(1) Subject to subdivision (2) of this subsection, the interest in the property is transferred to the designated beneficiary in accordance with the deed.</w:t>
      </w:r>
    </w:p>
    <w:p w14:paraId="43A5B099" w14:textId="77777777" w:rsidR="009660EE" w:rsidRPr="008A5392" w:rsidRDefault="009660EE" w:rsidP="00FF3CC3">
      <w:pPr>
        <w:ind w:firstLine="720"/>
        <w:jc w:val="both"/>
        <w:rPr>
          <w:rFonts w:eastAsia="Calibri"/>
          <w:color w:val="000000"/>
        </w:rPr>
      </w:pPr>
      <w:r w:rsidRPr="008A5392">
        <w:rPr>
          <w:rFonts w:eastAsia="Calibri"/>
          <w:color w:val="000000"/>
        </w:rPr>
        <w:t>(2) The interest of a designated beneficiary</w:t>
      </w:r>
      <w:r w:rsidRPr="008A5392">
        <w:rPr>
          <w:rFonts w:eastAsia="Calibri"/>
          <w:color w:val="000000"/>
          <w:u w:val="single"/>
        </w:rPr>
        <w:t xml:space="preserve">, when there is only one beneficiary designated, </w:t>
      </w:r>
      <w:r w:rsidRPr="008A5392">
        <w:rPr>
          <w:rFonts w:eastAsia="Calibri"/>
          <w:color w:val="000000"/>
        </w:rPr>
        <w:t xml:space="preserve"> is contingent on the designated beneficiary surviving the transferor. The interest of a designated beneficiary that fails to survive the transferor</w:t>
      </w:r>
      <w:r w:rsidRPr="008A5392">
        <w:rPr>
          <w:rFonts w:eastAsia="Calibri"/>
          <w:color w:val="000000"/>
          <w:u w:val="single"/>
        </w:rPr>
        <w:t xml:space="preserve">, when there is only one beneficiary designated, </w:t>
      </w:r>
      <w:r w:rsidRPr="008A5392">
        <w:rPr>
          <w:rFonts w:eastAsia="Calibri"/>
          <w:color w:val="000000"/>
        </w:rPr>
        <w:t xml:space="preserve"> lapses.</w:t>
      </w:r>
    </w:p>
    <w:p w14:paraId="4674A7D6" w14:textId="77777777" w:rsidR="009660EE" w:rsidRPr="008A5392" w:rsidRDefault="009660EE" w:rsidP="00FF3CC3">
      <w:pPr>
        <w:ind w:firstLine="720"/>
        <w:jc w:val="both"/>
        <w:rPr>
          <w:rFonts w:eastAsia="Calibri"/>
          <w:color w:val="000000"/>
        </w:rPr>
      </w:pPr>
      <w:r w:rsidRPr="008A5392">
        <w:rPr>
          <w:rFonts w:eastAsia="Calibri"/>
          <w:color w:val="000000"/>
        </w:rPr>
        <w:t xml:space="preserve">(3) Subject to subdivision (4) of this subsection, concurrent interests are transferred to the beneficiaries in equal and undivided shares </w:t>
      </w:r>
      <w:r w:rsidRPr="008A5392">
        <w:rPr>
          <w:rFonts w:eastAsia="Calibri"/>
          <w:strike/>
          <w:color w:val="000000"/>
        </w:rPr>
        <w:t>with no right of survivorship</w:t>
      </w:r>
      <w:r w:rsidRPr="008A5392">
        <w:rPr>
          <w:rFonts w:eastAsia="Calibri"/>
          <w:color w:val="000000"/>
          <w:u w:val="single"/>
        </w:rPr>
        <w:t>, unless the deed specifies otherwise</w:t>
      </w:r>
      <w:r w:rsidRPr="008A5392">
        <w:rPr>
          <w:rFonts w:eastAsia="Calibri"/>
          <w:color w:val="000000"/>
        </w:rPr>
        <w:t xml:space="preserve">, </w:t>
      </w:r>
      <w:r w:rsidRPr="008A5392">
        <w:rPr>
          <w:rFonts w:eastAsia="Calibri"/>
          <w:color w:val="000000"/>
          <w:u w:val="single"/>
        </w:rPr>
        <w:t>as tenants in common or with right of survivorship if the deed specifies joint tenancy with right of survivorship</w:t>
      </w:r>
      <w:r w:rsidRPr="008A5392">
        <w:rPr>
          <w:rFonts w:eastAsia="Calibri"/>
          <w:color w:val="000000"/>
        </w:rPr>
        <w:t>.</w:t>
      </w:r>
    </w:p>
    <w:p w14:paraId="045796CF" w14:textId="77777777" w:rsidR="009660EE" w:rsidRPr="008A5392" w:rsidRDefault="009660EE" w:rsidP="00FF3CC3">
      <w:pPr>
        <w:ind w:firstLine="720"/>
        <w:jc w:val="both"/>
        <w:rPr>
          <w:rFonts w:eastAsia="Calibri"/>
          <w:color w:val="000000"/>
        </w:rPr>
      </w:pPr>
      <w:r w:rsidRPr="008A5392">
        <w:rPr>
          <w:rFonts w:eastAsia="Calibri"/>
          <w:color w:val="000000"/>
        </w:rPr>
        <w:t xml:space="preserve">(4) If the transferor has identified two or more designated beneficiaries to receive concurrent interests in the property, the share of one which lapses or fails for any reason is transferred to the other, or to the others in proportion to the interest of each in the remaining part </w:t>
      </w:r>
      <w:r w:rsidRPr="008A5392">
        <w:rPr>
          <w:rFonts w:eastAsia="Calibri"/>
          <w:color w:val="000000"/>
        </w:rPr>
        <w:lastRenderedPageBreak/>
        <w:t xml:space="preserve">of the property held concurrently </w:t>
      </w:r>
      <w:r w:rsidRPr="008A5392">
        <w:rPr>
          <w:rFonts w:eastAsia="Calibri"/>
          <w:color w:val="000000"/>
          <w:u w:val="single"/>
        </w:rPr>
        <w:t>as tenants in common or with right of survivorship if the deed specifies joint tenancy with the right of survivorship</w:t>
      </w:r>
      <w:r w:rsidRPr="008A5392">
        <w:rPr>
          <w:rFonts w:eastAsia="Calibri"/>
          <w:color w:val="000000"/>
        </w:rPr>
        <w:t>.</w:t>
      </w:r>
    </w:p>
    <w:p w14:paraId="2F41436A" w14:textId="13202E78" w:rsidR="009660EE" w:rsidRPr="008A5392" w:rsidRDefault="009660EE" w:rsidP="00FF3CC3">
      <w:pPr>
        <w:ind w:firstLine="720"/>
        <w:jc w:val="both"/>
        <w:rPr>
          <w:rFonts w:eastAsia="Calibri"/>
          <w:color w:val="000000"/>
        </w:rPr>
      </w:pPr>
      <w:r w:rsidRPr="008A5392">
        <w:rPr>
          <w:rFonts w:eastAsia="Calibri"/>
          <w:color w:val="000000"/>
        </w:rPr>
        <w:t xml:space="preserve">(b) Subject to </w:t>
      </w:r>
      <w:r w:rsidRPr="008A5392">
        <w:rPr>
          <w:rFonts w:eastAsia="Calibri"/>
          <w:strike/>
          <w:color w:val="000000"/>
        </w:rPr>
        <w:t>article two, chapter thirty-nine and chapter thirty-eight of this code</w:t>
      </w:r>
      <w:r w:rsidRPr="008A5392">
        <w:rPr>
          <w:rFonts w:eastAsia="Calibri"/>
          <w:color w:val="000000"/>
        </w:rPr>
        <w:t xml:space="preserve"> </w:t>
      </w:r>
      <w:bookmarkStart w:id="0" w:name="_Hlk127867269"/>
      <w:r w:rsidRPr="008A5392">
        <w:rPr>
          <w:rFonts w:eastAsia="Calibri" w:cs="Arial"/>
          <w:color w:val="000000"/>
          <w:u w:val="single"/>
        </w:rPr>
        <w:t>§</w:t>
      </w:r>
      <w:bookmarkEnd w:id="0"/>
      <w:r w:rsidRPr="008A5392">
        <w:rPr>
          <w:rFonts w:eastAsia="Calibri"/>
          <w:color w:val="000000"/>
          <w:u w:val="single"/>
        </w:rPr>
        <w:t xml:space="preserve">39-2-1, </w:t>
      </w:r>
      <w:r w:rsidRPr="008A5392">
        <w:rPr>
          <w:rFonts w:eastAsia="Calibri"/>
          <w:i/>
          <w:iCs/>
          <w:color w:val="000000"/>
          <w:u w:val="single"/>
        </w:rPr>
        <w:t>et seq.</w:t>
      </w:r>
      <w:r w:rsidRPr="008A5392">
        <w:rPr>
          <w:rFonts w:eastAsia="Calibri"/>
          <w:color w:val="000000"/>
          <w:u w:val="single"/>
        </w:rPr>
        <w:t>,</w:t>
      </w:r>
      <w:r w:rsidRPr="008A5392">
        <w:rPr>
          <w:rFonts w:eastAsia="Calibri"/>
          <w:color w:val="000000"/>
        </w:rPr>
        <w:t xml:space="preserve"> and </w:t>
      </w:r>
      <w:r w:rsidRPr="008A5392">
        <w:rPr>
          <w:rFonts w:eastAsia="Calibri" w:cs="Arial"/>
          <w:color w:val="000000"/>
          <w:u w:val="single"/>
        </w:rPr>
        <w:t>§</w:t>
      </w:r>
      <w:r w:rsidRPr="008A5392">
        <w:rPr>
          <w:rFonts w:eastAsia="Calibri"/>
          <w:color w:val="000000"/>
          <w:u w:val="single"/>
        </w:rPr>
        <w:t>38-1-1,</w:t>
      </w:r>
      <w:r w:rsidR="00FF3CC3" w:rsidRPr="00FF3CC3">
        <w:rPr>
          <w:rFonts w:eastAsia="Calibri"/>
          <w:i/>
          <w:color w:val="000000"/>
          <w:u w:val="single"/>
        </w:rPr>
        <w:t xml:space="preserve"> et seq. </w:t>
      </w:r>
      <w:r w:rsidRPr="008A5392">
        <w:rPr>
          <w:rFonts w:eastAsia="Calibri"/>
          <w:color w:val="000000"/>
          <w:u w:val="single"/>
        </w:rPr>
        <w:t>of this code,</w:t>
      </w:r>
      <w:r w:rsidRPr="008A5392">
        <w:rPr>
          <w:rFonts w:eastAsia="Calibri"/>
          <w:color w:val="000000"/>
        </w:rPr>
        <w:t xml:space="preserve"> a beneficiary takes the property subject to all conveyances, encumbrances, assignments, contracts, mortgages, liens and other interests to which the property is subject at the transferor</w:t>
      </w:r>
      <w:r w:rsidR="00FF3CC3">
        <w:rPr>
          <w:rFonts w:eastAsia="Calibri"/>
          <w:color w:val="000000"/>
        </w:rPr>
        <w:t>’</w:t>
      </w:r>
      <w:r w:rsidRPr="008A5392">
        <w:rPr>
          <w:rFonts w:eastAsia="Calibri"/>
          <w:color w:val="000000"/>
        </w:rPr>
        <w:t xml:space="preserve">s death. For purposes of this subsection, </w:t>
      </w:r>
      <w:r w:rsidRPr="008A5392">
        <w:rPr>
          <w:rFonts w:eastAsia="Calibri"/>
          <w:strike/>
          <w:color w:val="000000"/>
        </w:rPr>
        <w:t>article two, chapter thirty-nine and chapter thirty-eight of this code</w:t>
      </w:r>
      <w:r w:rsidRPr="008A5392">
        <w:rPr>
          <w:rFonts w:eastAsia="Calibri"/>
          <w:color w:val="000000"/>
        </w:rPr>
        <w:t xml:space="preserve">, </w:t>
      </w:r>
      <w:r w:rsidRPr="008A5392">
        <w:rPr>
          <w:rFonts w:eastAsia="Calibri" w:cs="Arial"/>
          <w:color w:val="000000"/>
          <w:u w:val="single"/>
        </w:rPr>
        <w:t xml:space="preserve">§39-2-1, </w:t>
      </w:r>
      <w:r w:rsidRPr="008A5392">
        <w:rPr>
          <w:rFonts w:eastAsia="Calibri" w:cs="Arial"/>
          <w:i/>
          <w:iCs/>
          <w:color w:val="000000"/>
          <w:u w:val="single"/>
        </w:rPr>
        <w:t>et seq,</w:t>
      </w:r>
      <w:r w:rsidRPr="008A5392">
        <w:rPr>
          <w:rFonts w:eastAsia="Calibri" w:cs="Arial"/>
          <w:color w:val="000000"/>
          <w:u w:val="single"/>
        </w:rPr>
        <w:t xml:space="preserve"> and</w:t>
      </w:r>
      <w:r w:rsidRPr="008A5392">
        <w:rPr>
          <w:rFonts w:eastAsia="Calibri"/>
          <w:color w:val="000000"/>
        </w:rPr>
        <w:t xml:space="preserve"> </w:t>
      </w:r>
      <w:r w:rsidRPr="008A5392">
        <w:rPr>
          <w:rFonts w:eastAsia="Calibri" w:cs="Arial"/>
          <w:color w:val="000000"/>
          <w:u w:val="single"/>
        </w:rPr>
        <w:t>§38-1-1,</w:t>
      </w:r>
      <w:r w:rsidR="00FF3CC3" w:rsidRPr="00FF3CC3">
        <w:rPr>
          <w:rFonts w:eastAsia="Calibri" w:cs="Arial"/>
          <w:i/>
          <w:color w:val="000000"/>
          <w:u w:val="single"/>
        </w:rPr>
        <w:t xml:space="preserve"> et seq. </w:t>
      </w:r>
      <w:r w:rsidRPr="008A5392">
        <w:rPr>
          <w:rFonts w:eastAsia="Calibri" w:cs="Arial"/>
          <w:color w:val="000000"/>
          <w:u w:val="single"/>
        </w:rPr>
        <w:t>of this code,</w:t>
      </w:r>
      <w:r w:rsidRPr="008A5392">
        <w:rPr>
          <w:rFonts w:eastAsia="Calibri" w:cs="Arial"/>
          <w:color w:val="000000"/>
        </w:rPr>
        <w:t xml:space="preserve"> </w:t>
      </w:r>
      <w:r w:rsidRPr="008A5392">
        <w:rPr>
          <w:rFonts w:eastAsia="Calibri"/>
          <w:color w:val="000000"/>
        </w:rPr>
        <w:t>the recording of the transfer on death deed is deemed to have occurred at the transferor</w:t>
      </w:r>
      <w:r w:rsidR="00FF3CC3">
        <w:rPr>
          <w:rFonts w:eastAsia="Calibri"/>
          <w:color w:val="000000"/>
        </w:rPr>
        <w:t>’</w:t>
      </w:r>
      <w:r w:rsidRPr="008A5392">
        <w:rPr>
          <w:rFonts w:eastAsia="Calibri"/>
          <w:color w:val="000000"/>
        </w:rPr>
        <w:t>s death.</w:t>
      </w:r>
    </w:p>
    <w:p w14:paraId="75C40688" w14:textId="77777777" w:rsidR="009660EE" w:rsidRPr="008A5392" w:rsidRDefault="009660EE" w:rsidP="00FF3CC3">
      <w:pPr>
        <w:ind w:firstLine="720"/>
        <w:jc w:val="both"/>
        <w:rPr>
          <w:rFonts w:eastAsia="Calibri"/>
          <w:color w:val="000000"/>
        </w:rPr>
      </w:pPr>
      <w:r w:rsidRPr="008A5392">
        <w:rPr>
          <w:rFonts w:eastAsia="Calibri"/>
          <w:color w:val="000000"/>
        </w:rPr>
        <w:t xml:space="preserve">(c) If a transferor is a joint owner </w:t>
      </w:r>
      <w:r w:rsidRPr="008A5392">
        <w:rPr>
          <w:rFonts w:eastAsia="Calibri"/>
          <w:color w:val="000000"/>
          <w:u w:val="single"/>
        </w:rPr>
        <w:t>with other joint owners with right of survivorship</w:t>
      </w:r>
      <w:r w:rsidRPr="008A5392">
        <w:rPr>
          <w:rFonts w:eastAsia="Calibri"/>
          <w:color w:val="000000"/>
        </w:rPr>
        <w:t xml:space="preserve"> and is:</w:t>
      </w:r>
    </w:p>
    <w:p w14:paraId="7C3B851E" w14:textId="77777777" w:rsidR="009660EE" w:rsidRPr="008A5392" w:rsidRDefault="009660EE" w:rsidP="00FF3CC3">
      <w:pPr>
        <w:ind w:firstLine="720"/>
        <w:jc w:val="both"/>
        <w:rPr>
          <w:rFonts w:eastAsia="Calibri"/>
          <w:color w:val="000000"/>
        </w:rPr>
      </w:pPr>
      <w:r w:rsidRPr="008A5392">
        <w:rPr>
          <w:rFonts w:eastAsia="Calibri"/>
          <w:color w:val="000000"/>
        </w:rPr>
        <w:t>(1) Survived by one or more other joint owners, the property that is the subject of a transfer on death deed belongs to the surviving joint owner or owners with right of survivorship; or</w:t>
      </w:r>
    </w:p>
    <w:p w14:paraId="126EB787" w14:textId="77777777" w:rsidR="009660EE" w:rsidRPr="008A5392" w:rsidRDefault="009660EE" w:rsidP="00FF3CC3">
      <w:pPr>
        <w:ind w:firstLine="720"/>
        <w:jc w:val="both"/>
        <w:rPr>
          <w:rFonts w:eastAsia="Calibri"/>
          <w:color w:val="000000"/>
        </w:rPr>
      </w:pPr>
      <w:r w:rsidRPr="008A5392">
        <w:rPr>
          <w:rFonts w:eastAsia="Calibri"/>
          <w:color w:val="000000"/>
        </w:rPr>
        <w:t>(2) The last surviving joint owner, the transfer on death deed is effective.</w:t>
      </w:r>
    </w:p>
    <w:p w14:paraId="3C83719D" w14:textId="77777777" w:rsidR="009660EE" w:rsidRPr="008A5392" w:rsidRDefault="009660EE" w:rsidP="00FF3CC3">
      <w:pPr>
        <w:ind w:firstLine="720"/>
        <w:jc w:val="both"/>
        <w:rPr>
          <w:rFonts w:eastAsia="Calibri"/>
          <w:color w:val="000000"/>
          <w:u w:val="single"/>
        </w:rPr>
      </w:pPr>
      <w:r w:rsidRPr="008A5392">
        <w:rPr>
          <w:rFonts w:eastAsia="Calibri"/>
          <w:color w:val="000000"/>
        </w:rPr>
        <w:t xml:space="preserve">(d)  </w:t>
      </w:r>
      <w:r w:rsidRPr="008A5392">
        <w:rPr>
          <w:rFonts w:eastAsia="Calibri"/>
          <w:color w:val="000000"/>
          <w:u w:val="single"/>
        </w:rPr>
        <w:t xml:space="preserve">If a transferor is an owner with other owners as tenants in common, the transfer on death deed is only effective as to the interest in the property which was held by the transferor. </w:t>
      </w:r>
    </w:p>
    <w:p w14:paraId="1E0CD322" w14:textId="3C90D590" w:rsidR="009660EE" w:rsidRPr="008A5392" w:rsidRDefault="009660EE" w:rsidP="00FF3CC3">
      <w:pPr>
        <w:ind w:firstLine="720"/>
        <w:jc w:val="both"/>
        <w:rPr>
          <w:rFonts w:cs="Arial"/>
          <w:color w:val="000000"/>
        </w:rPr>
      </w:pPr>
      <w:r w:rsidRPr="008A5392">
        <w:rPr>
          <w:rFonts w:eastAsia="Calibri"/>
          <w:color w:val="000000"/>
        </w:rPr>
        <w:t>(</w:t>
      </w:r>
      <w:r w:rsidRPr="008A5392">
        <w:rPr>
          <w:rFonts w:eastAsia="Calibri"/>
          <w:color w:val="000000"/>
          <w:u w:val="single"/>
        </w:rPr>
        <w:t>e</w:t>
      </w:r>
      <w:r w:rsidRPr="008A5392">
        <w:rPr>
          <w:rFonts w:eastAsia="Calibri"/>
          <w:color w:val="000000"/>
        </w:rPr>
        <w:t>) A transfer on death deed transfers property without covenant or warranty of title even if the deed contains a contrary provision.</w:t>
      </w:r>
    </w:p>
    <w:p w14:paraId="2593A63D" w14:textId="77777777" w:rsidR="009660EE" w:rsidRDefault="009660EE" w:rsidP="00FF3CC3">
      <w:pPr>
        <w:pStyle w:val="Note"/>
        <w:widowControl/>
        <w:rPr>
          <w:color w:val="auto"/>
        </w:rPr>
      </w:pPr>
    </w:p>
    <w:p w14:paraId="3978A58C" w14:textId="0324606B" w:rsidR="006865E9" w:rsidRPr="004F0B85" w:rsidRDefault="00CF1DCA" w:rsidP="00FF3CC3">
      <w:pPr>
        <w:pStyle w:val="Note"/>
        <w:widowControl/>
        <w:rPr>
          <w:color w:val="auto"/>
        </w:rPr>
      </w:pPr>
      <w:r w:rsidRPr="004F0B85">
        <w:rPr>
          <w:color w:val="auto"/>
        </w:rPr>
        <w:t>NOTE: The</w:t>
      </w:r>
      <w:r w:rsidR="006865E9" w:rsidRPr="004F0B85">
        <w:rPr>
          <w:color w:val="auto"/>
        </w:rPr>
        <w:t xml:space="preserve"> purpose of this bill is to </w:t>
      </w:r>
      <w:r w:rsidR="003E2C8F" w:rsidRPr="004F0B85">
        <w:rPr>
          <w:color w:val="auto"/>
        </w:rPr>
        <w:t>allow death deeds to specify joint tenancy with right of survivorship.</w:t>
      </w:r>
    </w:p>
    <w:p w14:paraId="6473B1FE" w14:textId="77777777" w:rsidR="006865E9" w:rsidRPr="004F0B85" w:rsidRDefault="00AE48A0" w:rsidP="00FF3CC3">
      <w:pPr>
        <w:pStyle w:val="Note"/>
        <w:widowControl/>
        <w:rPr>
          <w:color w:val="auto"/>
        </w:rPr>
      </w:pPr>
      <w:r w:rsidRPr="004F0B85">
        <w:rPr>
          <w:color w:val="auto"/>
        </w:rPr>
        <w:t>Strike-throughs indicate language that would be stricken from a heading or the present law and underscoring indicates new language that would be added.</w:t>
      </w:r>
    </w:p>
    <w:sectPr w:rsidR="006865E9" w:rsidRPr="004F0B85" w:rsidSect="001A2F2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B353" w14:textId="77777777" w:rsidR="003E2C8F" w:rsidRPr="00B844FE" w:rsidRDefault="003E2C8F" w:rsidP="00B844FE">
      <w:r>
        <w:separator/>
      </w:r>
    </w:p>
  </w:endnote>
  <w:endnote w:type="continuationSeparator" w:id="0">
    <w:p w14:paraId="38D6FB50" w14:textId="77777777" w:rsidR="003E2C8F" w:rsidRPr="00B844FE" w:rsidRDefault="003E2C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244168"/>
      <w:docPartObj>
        <w:docPartGallery w:val="Page Numbers (Bottom of Page)"/>
        <w:docPartUnique/>
      </w:docPartObj>
    </w:sdtPr>
    <w:sdtEndPr>
      <w:rPr>
        <w:noProof/>
      </w:rPr>
    </w:sdtEndPr>
    <w:sdtContent>
      <w:p w14:paraId="590A4F50" w14:textId="3351FB49" w:rsidR="001A2F23" w:rsidRDefault="001A2F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8BC9" w14:textId="3E81D33F" w:rsidR="001A2F23" w:rsidRDefault="001A2F23">
    <w:pPr>
      <w:pStyle w:val="Footer"/>
      <w:jc w:val="center"/>
    </w:pPr>
  </w:p>
  <w:p w14:paraId="0D085803" w14:textId="77777777" w:rsidR="0050767D" w:rsidRDefault="00507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2B1A" w14:textId="77777777" w:rsidR="009660EE" w:rsidRDefault="009660EE" w:rsidP="008A0F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677FDB" w14:textId="77777777" w:rsidR="009660EE" w:rsidRPr="00C90924" w:rsidRDefault="009660EE" w:rsidP="00C909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A814" w14:textId="77777777" w:rsidR="009660EE" w:rsidRDefault="009660EE" w:rsidP="008A0F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D8DFC1" w14:textId="77777777" w:rsidR="009660EE" w:rsidRPr="00C90924" w:rsidRDefault="009660EE" w:rsidP="00C90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37B6" w14:textId="77777777" w:rsidR="003E2C8F" w:rsidRPr="00B844FE" w:rsidRDefault="003E2C8F" w:rsidP="00B844FE">
      <w:r>
        <w:separator/>
      </w:r>
    </w:p>
  </w:footnote>
  <w:footnote w:type="continuationSeparator" w:id="0">
    <w:p w14:paraId="32068AC5" w14:textId="77777777" w:rsidR="003E2C8F" w:rsidRPr="00B844FE" w:rsidRDefault="003E2C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0786" w14:textId="2BC7109A" w:rsidR="005B0843" w:rsidRPr="00AE0EDA" w:rsidRDefault="001D3C28" w:rsidP="00AE0EDA">
    <w:pPr>
      <w:pStyle w:val="Header"/>
    </w:pPr>
    <w:r>
      <w:t xml:space="preserve">Sec </w:t>
    </w:r>
    <w:r w:rsidR="00FF3CC3">
      <w:t>Eng</w:t>
    </w:r>
    <w:r w:rsidR="00AE0EDA">
      <w:t xml:space="preserve"> HB 3499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76EB" w14:textId="77777777" w:rsidR="009660EE" w:rsidRPr="00C90924" w:rsidRDefault="009660EE" w:rsidP="00C90924">
    <w:pPr>
      <w:pStyle w:val="Header"/>
    </w:pPr>
    <w:r>
      <w:t>CS for HB 3499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C80B" w14:textId="77777777" w:rsidR="009660EE" w:rsidRPr="00C90924" w:rsidRDefault="009660EE" w:rsidP="00C90924">
    <w:pPr>
      <w:pStyle w:val="Header"/>
    </w:pPr>
    <w:r>
      <w:t>CS for HB 3499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3113001">
    <w:abstractNumId w:val="0"/>
  </w:num>
  <w:num w:numId="2" w16cid:durableId="62916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8F"/>
    <w:rsid w:val="0000526A"/>
    <w:rsid w:val="000573A9"/>
    <w:rsid w:val="00085D22"/>
    <w:rsid w:val="00093AB0"/>
    <w:rsid w:val="000C5C77"/>
    <w:rsid w:val="000E3912"/>
    <w:rsid w:val="0010070F"/>
    <w:rsid w:val="001224B4"/>
    <w:rsid w:val="0015112E"/>
    <w:rsid w:val="001552E7"/>
    <w:rsid w:val="001566B4"/>
    <w:rsid w:val="00162056"/>
    <w:rsid w:val="001A2F23"/>
    <w:rsid w:val="001A66B7"/>
    <w:rsid w:val="001C279E"/>
    <w:rsid w:val="001D3C28"/>
    <w:rsid w:val="001D459E"/>
    <w:rsid w:val="0022348D"/>
    <w:rsid w:val="0027011C"/>
    <w:rsid w:val="00274200"/>
    <w:rsid w:val="00275740"/>
    <w:rsid w:val="002A0269"/>
    <w:rsid w:val="00303684"/>
    <w:rsid w:val="003143F5"/>
    <w:rsid w:val="00314854"/>
    <w:rsid w:val="00394191"/>
    <w:rsid w:val="003A1036"/>
    <w:rsid w:val="003C51CD"/>
    <w:rsid w:val="003C6034"/>
    <w:rsid w:val="003E2C8F"/>
    <w:rsid w:val="00400B5C"/>
    <w:rsid w:val="004242A4"/>
    <w:rsid w:val="004368E0"/>
    <w:rsid w:val="004C13DD"/>
    <w:rsid w:val="004D3ABE"/>
    <w:rsid w:val="004E3441"/>
    <w:rsid w:val="004F0B85"/>
    <w:rsid w:val="00500579"/>
    <w:rsid w:val="0050767D"/>
    <w:rsid w:val="005A5366"/>
    <w:rsid w:val="005B0843"/>
    <w:rsid w:val="006369EB"/>
    <w:rsid w:val="00637E73"/>
    <w:rsid w:val="006865E9"/>
    <w:rsid w:val="00686E9A"/>
    <w:rsid w:val="00691F3E"/>
    <w:rsid w:val="00694BFB"/>
    <w:rsid w:val="006A106B"/>
    <w:rsid w:val="006C523D"/>
    <w:rsid w:val="006D4036"/>
    <w:rsid w:val="007627E1"/>
    <w:rsid w:val="007A5259"/>
    <w:rsid w:val="007A7081"/>
    <w:rsid w:val="007F1CF5"/>
    <w:rsid w:val="00834EDE"/>
    <w:rsid w:val="008736AA"/>
    <w:rsid w:val="008D275D"/>
    <w:rsid w:val="009660EE"/>
    <w:rsid w:val="00980327"/>
    <w:rsid w:val="00986478"/>
    <w:rsid w:val="009B2B77"/>
    <w:rsid w:val="009B5557"/>
    <w:rsid w:val="009F1067"/>
    <w:rsid w:val="009F6EEE"/>
    <w:rsid w:val="00A14F26"/>
    <w:rsid w:val="00A31E01"/>
    <w:rsid w:val="00A527AD"/>
    <w:rsid w:val="00A700C9"/>
    <w:rsid w:val="00A718CF"/>
    <w:rsid w:val="00AE0EDA"/>
    <w:rsid w:val="00AE48A0"/>
    <w:rsid w:val="00AE61BE"/>
    <w:rsid w:val="00B16F25"/>
    <w:rsid w:val="00B24422"/>
    <w:rsid w:val="00B66B81"/>
    <w:rsid w:val="00B71E6F"/>
    <w:rsid w:val="00B80C20"/>
    <w:rsid w:val="00B844FE"/>
    <w:rsid w:val="00B86B4F"/>
    <w:rsid w:val="00BA1F84"/>
    <w:rsid w:val="00BC562B"/>
    <w:rsid w:val="00C33014"/>
    <w:rsid w:val="00C33434"/>
    <w:rsid w:val="00C347FB"/>
    <w:rsid w:val="00C34869"/>
    <w:rsid w:val="00C42EB6"/>
    <w:rsid w:val="00C85096"/>
    <w:rsid w:val="00CB20EF"/>
    <w:rsid w:val="00CC1F3B"/>
    <w:rsid w:val="00CD12CB"/>
    <w:rsid w:val="00CD36CF"/>
    <w:rsid w:val="00CF1DCA"/>
    <w:rsid w:val="00D579FC"/>
    <w:rsid w:val="00D74BD2"/>
    <w:rsid w:val="00D8070F"/>
    <w:rsid w:val="00D81C16"/>
    <w:rsid w:val="00DE526B"/>
    <w:rsid w:val="00DF199D"/>
    <w:rsid w:val="00E01542"/>
    <w:rsid w:val="00E365F1"/>
    <w:rsid w:val="00E62F48"/>
    <w:rsid w:val="00E831B3"/>
    <w:rsid w:val="00E95FBC"/>
    <w:rsid w:val="00EC5E63"/>
    <w:rsid w:val="00EE70CB"/>
    <w:rsid w:val="00F032A3"/>
    <w:rsid w:val="00F41CA2"/>
    <w:rsid w:val="00F443C0"/>
    <w:rsid w:val="00F62EFB"/>
    <w:rsid w:val="00F939A4"/>
    <w:rsid w:val="00FA7B09"/>
    <w:rsid w:val="00FD5B51"/>
    <w:rsid w:val="00FE067E"/>
    <w:rsid w:val="00FE208F"/>
    <w:rsid w:val="00FF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20F88"/>
  <w15:chartTrackingRefBased/>
  <w15:docId w15:val="{869305F1-2C89-4548-935E-875BD134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E2C8F"/>
    <w:rPr>
      <w:rFonts w:eastAsia="Calibri"/>
      <w:color w:val="000000"/>
    </w:rPr>
  </w:style>
  <w:style w:type="character" w:customStyle="1" w:styleId="SectionHeadingChar">
    <w:name w:val="Section Heading Char"/>
    <w:link w:val="SectionHeading"/>
    <w:rsid w:val="003E2C8F"/>
    <w:rPr>
      <w:rFonts w:eastAsia="Calibri"/>
      <w:b/>
      <w:color w:val="000000"/>
    </w:rPr>
  </w:style>
  <w:style w:type="character" w:styleId="PageNumber">
    <w:name w:val="page number"/>
    <w:basedOn w:val="DefaultParagraphFont"/>
    <w:uiPriority w:val="99"/>
    <w:semiHidden/>
    <w:locked/>
    <w:rsid w:val="00966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9AA6A24B3A43A8B33E98E1A56EABEB"/>
        <w:category>
          <w:name w:val="General"/>
          <w:gallery w:val="placeholder"/>
        </w:category>
        <w:types>
          <w:type w:val="bbPlcHdr"/>
        </w:types>
        <w:behaviors>
          <w:behavior w:val="content"/>
        </w:behaviors>
        <w:guid w:val="{2A9BDF7D-D8CF-49DB-8380-D9F477AA40DF}"/>
      </w:docPartPr>
      <w:docPartBody>
        <w:p w:rsidR="00A47BB4" w:rsidRDefault="00A47BB4">
          <w:pPr>
            <w:pStyle w:val="759AA6A24B3A43A8B33E98E1A56EABEB"/>
          </w:pPr>
          <w:r w:rsidRPr="00B844FE">
            <w:t>Prefix Text</w:t>
          </w:r>
        </w:p>
      </w:docPartBody>
    </w:docPart>
    <w:docPart>
      <w:docPartPr>
        <w:name w:val="4B15592BBF5240F1A767F83889E3E059"/>
        <w:category>
          <w:name w:val="General"/>
          <w:gallery w:val="placeholder"/>
        </w:category>
        <w:types>
          <w:type w:val="bbPlcHdr"/>
        </w:types>
        <w:behaviors>
          <w:behavior w:val="content"/>
        </w:behaviors>
        <w:guid w:val="{F70B7BB8-9E21-40A2-8A3B-7726BB80BBF1}"/>
      </w:docPartPr>
      <w:docPartBody>
        <w:p w:rsidR="00A47BB4" w:rsidRDefault="00A47BB4">
          <w:pPr>
            <w:pStyle w:val="4B15592BBF5240F1A767F83889E3E059"/>
          </w:pPr>
          <w:r w:rsidRPr="00B844FE">
            <w:t>[Type here]</w:t>
          </w:r>
        </w:p>
      </w:docPartBody>
    </w:docPart>
    <w:docPart>
      <w:docPartPr>
        <w:name w:val="DBDC4A2F8B294CAD8CA2A4D6C366BA4B"/>
        <w:category>
          <w:name w:val="General"/>
          <w:gallery w:val="placeholder"/>
        </w:category>
        <w:types>
          <w:type w:val="bbPlcHdr"/>
        </w:types>
        <w:behaviors>
          <w:behavior w:val="content"/>
        </w:behaviors>
        <w:guid w:val="{6B543806-8661-426D-93AE-ED19E3E795C3}"/>
      </w:docPartPr>
      <w:docPartBody>
        <w:p w:rsidR="00A47BB4" w:rsidRDefault="00A47BB4">
          <w:pPr>
            <w:pStyle w:val="DBDC4A2F8B294CAD8CA2A4D6C366BA4B"/>
          </w:pPr>
          <w:r w:rsidRPr="00B844FE">
            <w:t>Number</w:t>
          </w:r>
        </w:p>
      </w:docPartBody>
    </w:docPart>
    <w:docPart>
      <w:docPartPr>
        <w:name w:val="256CCBC0F99E45F4BDDE674FEA938B70"/>
        <w:category>
          <w:name w:val="General"/>
          <w:gallery w:val="placeholder"/>
        </w:category>
        <w:types>
          <w:type w:val="bbPlcHdr"/>
        </w:types>
        <w:behaviors>
          <w:behavior w:val="content"/>
        </w:behaviors>
        <w:guid w:val="{89A67024-949E-4BD8-A70F-DF3F25BDAA89}"/>
      </w:docPartPr>
      <w:docPartBody>
        <w:p w:rsidR="00A47BB4" w:rsidRDefault="00A47BB4">
          <w:pPr>
            <w:pStyle w:val="256CCBC0F99E45F4BDDE674FEA938B7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B4"/>
    <w:rsid w:val="00A4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AA6A24B3A43A8B33E98E1A56EABEB">
    <w:name w:val="759AA6A24B3A43A8B33E98E1A56EABEB"/>
  </w:style>
  <w:style w:type="paragraph" w:customStyle="1" w:styleId="4B15592BBF5240F1A767F83889E3E059">
    <w:name w:val="4B15592BBF5240F1A767F83889E3E059"/>
  </w:style>
  <w:style w:type="paragraph" w:customStyle="1" w:styleId="DBDC4A2F8B294CAD8CA2A4D6C366BA4B">
    <w:name w:val="DBDC4A2F8B294CAD8CA2A4D6C366BA4B"/>
  </w:style>
  <w:style w:type="character" w:styleId="PlaceholderText">
    <w:name w:val="Placeholder Text"/>
    <w:basedOn w:val="DefaultParagraphFont"/>
    <w:uiPriority w:val="99"/>
    <w:semiHidden/>
    <w:rPr>
      <w:color w:val="808080"/>
    </w:rPr>
  </w:style>
  <w:style w:type="paragraph" w:customStyle="1" w:styleId="256CCBC0F99E45F4BDDE674FEA938B70">
    <w:name w:val="256CCBC0F99E45F4BDDE674FEA93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Shane Thomas</cp:lastModifiedBy>
  <cp:revision>2</cp:revision>
  <cp:lastPrinted>2023-02-24T19:04:00Z</cp:lastPrinted>
  <dcterms:created xsi:type="dcterms:W3CDTF">2023-02-24T19:04:00Z</dcterms:created>
  <dcterms:modified xsi:type="dcterms:W3CDTF">2023-02-24T19:04:00Z</dcterms:modified>
</cp:coreProperties>
</file>